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FF5F" w14:textId="504C49E4" w:rsidR="00CF03C0" w:rsidRPr="008A37F3" w:rsidRDefault="00CF03C0" w:rsidP="00BD0637">
      <w:pPr>
        <w:pBdr>
          <w:bottom w:val="single" w:sz="4" w:space="0" w:color="auto"/>
        </w:pBdr>
        <w:jc w:val="center"/>
        <w:rPr>
          <w:rFonts w:asciiTheme="majorHAnsi" w:hAnsiTheme="majorHAnsi"/>
          <w:b/>
        </w:rPr>
      </w:pPr>
      <w:r w:rsidRPr="008A37F3">
        <w:rPr>
          <w:rFonts w:asciiTheme="majorHAnsi" w:hAnsiTheme="majorHAnsi"/>
          <w:b/>
        </w:rPr>
        <w:t xml:space="preserve">Připomínka k návrhu </w:t>
      </w:r>
      <w:r w:rsidR="0022715A">
        <w:rPr>
          <w:rFonts w:asciiTheme="majorHAnsi" w:hAnsiTheme="majorHAnsi"/>
          <w:b/>
        </w:rPr>
        <w:t>Změny č. 2 Územního rozvojového plánu</w:t>
      </w:r>
    </w:p>
    <w:p w14:paraId="1B29CEEF" w14:textId="77777777" w:rsidR="00CF03C0" w:rsidRPr="008A37F3" w:rsidRDefault="00CF03C0" w:rsidP="0055227F">
      <w:pPr>
        <w:jc w:val="both"/>
        <w:rPr>
          <w:rFonts w:asciiTheme="majorHAnsi" w:hAnsiTheme="majorHAnsi"/>
        </w:rPr>
      </w:pPr>
    </w:p>
    <w:p w14:paraId="2DF45E33" w14:textId="77777777" w:rsidR="00CF03C0" w:rsidRPr="008A37F3" w:rsidRDefault="00CF03C0" w:rsidP="0055227F">
      <w:pPr>
        <w:jc w:val="both"/>
        <w:rPr>
          <w:rFonts w:asciiTheme="majorHAnsi" w:hAnsiTheme="majorHAnsi"/>
        </w:rPr>
      </w:pPr>
    </w:p>
    <w:tbl>
      <w:tblPr>
        <w:tblW w:w="3097" w:type="dxa"/>
        <w:tblInd w:w="6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</w:tblGrid>
      <w:tr w:rsidR="00CF03C0" w:rsidRPr="008A37F3" w14:paraId="418E388A" w14:textId="77777777" w:rsidTr="002045A3">
        <w:tc>
          <w:tcPr>
            <w:tcW w:w="3097" w:type="dxa"/>
          </w:tcPr>
          <w:p w14:paraId="1B638EBF" w14:textId="77777777" w:rsidR="00994A82" w:rsidRDefault="0022715A" w:rsidP="0055227F">
            <w:pPr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Ministerstvo pro místní rozvoj</w:t>
            </w:r>
          </w:p>
          <w:p w14:paraId="22963C86" w14:textId="77777777" w:rsidR="00CF03C0" w:rsidRDefault="00994A82" w:rsidP="0055227F">
            <w:pPr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</w:t>
            </w:r>
            <w:r w:rsidRPr="00994A82">
              <w:rPr>
                <w:rFonts w:asciiTheme="majorHAnsi" w:hAnsiTheme="majorHAnsi"/>
                <w:bCs/>
              </w:rPr>
              <w:t>dbor územního plánování</w:t>
            </w:r>
          </w:p>
          <w:p w14:paraId="288B9DD2" w14:textId="77777777" w:rsidR="00994A82" w:rsidRDefault="00994A82" w:rsidP="0055227F">
            <w:pPr>
              <w:jc w:val="both"/>
              <w:rPr>
                <w:rFonts w:asciiTheme="majorHAnsi" w:hAnsiTheme="majorHAnsi"/>
              </w:rPr>
            </w:pPr>
            <w:r w:rsidRPr="00994A82">
              <w:rPr>
                <w:rFonts w:asciiTheme="majorHAnsi" w:hAnsiTheme="majorHAnsi"/>
              </w:rPr>
              <w:t>Staroměstské náměstí 6</w:t>
            </w:r>
          </w:p>
          <w:p w14:paraId="784671F2" w14:textId="329C12D7" w:rsidR="00994A82" w:rsidRPr="008A37F3" w:rsidRDefault="00994A82" w:rsidP="0055227F">
            <w:pPr>
              <w:jc w:val="both"/>
              <w:rPr>
                <w:rFonts w:asciiTheme="majorHAnsi" w:hAnsiTheme="majorHAnsi"/>
              </w:rPr>
            </w:pPr>
            <w:r w:rsidRPr="00994A82">
              <w:rPr>
                <w:rFonts w:asciiTheme="majorHAnsi" w:hAnsiTheme="majorHAnsi"/>
              </w:rPr>
              <w:t>110 00 Praha</w:t>
            </w:r>
            <w:r>
              <w:rPr>
                <w:rFonts w:asciiTheme="majorHAnsi" w:hAnsiTheme="majorHAnsi"/>
              </w:rPr>
              <w:t xml:space="preserve"> 1</w:t>
            </w:r>
          </w:p>
        </w:tc>
      </w:tr>
    </w:tbl>
    <w:p w14:paraId="081BE811" w14:textId="77777777" w:rsidR="00CF03C0" w:rsidRPr="008A37F3" w:rsidRDefault="00CF03C0" w:rsidP="0055227F">
      <w:pPr>
        <w:jc w:val="both"/>
        <w:rPr>
          <w:rFonts w:asciiTheme="majorHAnsi" w:hAnsiTheme="majorHAnsi"/>
        </w:rPr>
      </w:pPr>
    </w:p>
    <w:p w14:paraId="31A2972A" w14:textId="77777777" w:rsidR="00CF03C0" w:rsidRPr="008A37F3" w:rsidRDefault="00CF03C0" w:rsidP="0055227F">
      <w:pPr>
        <w:jc w:val="both"/>
        <w:rPr>
          <w:rFonts w:asciiTheme="majorHAnsi" w:hAnsiTheme="majorHAnsi"/>
        </w:rPr>
      </w:pPr>
    </w:p>
    <w:p w14:paraId="17098C29" w14:textId="25F3DE01" w:rsidR="0022715A" w:rsidRPr="008A37F3" w:rsidRDefault="00CF03C0" w:rsidP="0055227F">
      <w:pPr>
        <w:pBdr>
          <w:bottom w:val="single" w:sz="4" w:space="0" w:color="auto"/>
        </w:pBdr>
        <w:jc w:val="both"/>
        <w:rPr>
          <w:rFonts w:asciiTheme="majorHAnsi" w:hAnsiTheme="majorHAnsi"/>
          <w:b/>
        </w:rPr>
      </w:pPr>
      <w:r w:rsidRPr="008A37F3">
        <w:rPr>
          <w:rFonts w:asciiTheme="majorHAnsi" w:hAnsiTheme="majorHAnsi"/>
          <w:b/>
          <w:sz w:val="28"/>
          <w:szCs w:val="28"/>
        </w:rPr>
        <w:t>Věc:</w:t>
      </w:r>
      <w:r w:rsidRPr="008A37F3">
        <w:rPr>
          <w:rFonts w:asciiTheme="majorHAnsi" w:hAnsiTheme="majorHAnsi"/>
          <w:sz w:val="28"/>
          <w:szCs w:val="28"/>
        </w:rPr>
        <w:tab/>
      </w:r>
      <w:r w:rsidRPr="008A37F3">
        <w:rPr>
          <w:rFonts w:asciiTheme="majorHAnsi" w:hAnsiTheme="majorHAnsi"/>
          <w:b/>
          <w:sz w:val="28"/>
          <w:szCs w:val="28"/>
        </w:rPr>
        <w:t>Připomínka</w:t>
      </w:r>
      <w:r w:rsidR="0000617C">
        <w:rPr>
          <w:rFonts w:asciiTheme="majorHAnsi" w:hAnsiTheme="majorHAnsi"/>
          <w:b/>
          <w:sz w:val="28"/>
          <w:szCs w:val="28"/>
        </w:rPr>
        <w:t xml:space="preserve"> </w:t>
      </w:r>
      <w:r w:rsidRPr="008A37F3">
        <w:rPr>
          <w:rFonts w:asciiTheme="majorHAnsi" w:hAnsiTheme="majorHAnsi"/>
          <w:b/>
          <w:sz w:val="28"/>
          <w:szCs w:val="28"/>
        </w:rPr>
        <w:t>k</w:t>
      </w:r>
      <w:r w:rsidR="0022715A">
        <w:rPr>
          <w:rFonts w:asciiTheme="majorHAnsi" w:hAnsiTheme="majorHAnsi"/>
          <w:b/>
          <w:sz w:val="28"/>
          <w:szCs w:val="28"/>
        </w:rPr>
        <w:t> </w:t>
      </w:r>
      <w:r w:rsidRPr="008A37F3">
        <w:rPr>
          <w:rFonts w:asciiTheme="majorHAnsi" w:hAnsiTheme="majorHAnsi"/>
          <w:b/>
          <w:sz w:val="28"/>
          <w:szCs w:val="28"/>
        </w:rPr>
        <w:t>návrhu</w:t>
      </w:r>
      <w:r w:rsidR="0022715A">
        <w:rPr>
          <w:rFonts w:asciiTheme="majorHAnsi" w:hAnsiTheme="majorHAnsi"/>
          <w:b/>
          <w:sz w:val="28"/>
          <w:szCs w:val="28"/>
        </w:rPr>
        <w:t xml:space="preserve"> </w:t>
      </w:r>
      <w:r w:rsidR="0022715A" w:rsidRPr="0022715A">
        <w:rPr>
          <w:rFonts w:asciiTheme="majorHAnsi" w:hAnsiTheme="majorHAnsi"/>
          <w:b/>
          <w:sz w:val="28"/>
          <w:szCs w:val="28"/>
        </w:rPr>
        <w:t xml:space="preserve">Změny č. 2 </w:t>
      </w:r>
      <w:r w:rsidR="00B84D83">
        <w:rPr>
          <w:rFonts w:asciiTheme="majorHAnsi" w:hAnsiTheme="majorHAnsi"/>
          <w:b/>
          <w:sz w:val="28"/>
          <w:szCs w:val="28"/>
        </w:rPr>
        <w:t>ÚRP</w:t>
      </w:r>
    </w:p>
    <w:p w14:paraId="458DE892" w14:textId="6452B7D1" w:rsidR="00CF03C0" w:rsidRPr="008A37F3" w:rsidRDefault="00CF03C0" w:rsidP="0055227F">
      <w:pPr>
        <w:spacing w:line="360" w:lineRule="auto"/>
        <w:ind w:left="703" w:hanging="703"/>
        <w:jc w:val="both"/>
        <w:rPr>
          <w:rFonts w:asciiTheme="majorHAnsi" w:hAnsiTheme="majorHAnsi"/>
          <w:b/>
          <w:sz w:val="28"/>
          <w:szCs w:val="28"/>
        </w:rPr>
      </w:pPr>
    </w:p>
    <w:p w14:paraId="701FF95C" w14:textId="77777777" w:rsidR="00CF03C0" w:rsidRPr="008A37F3" w:rsidRDefault="00CF03C0" w:rsidP="0055227F">
      <w:pPr>
        <w:spacing w:line="360" w:lineRule="auto"/>
        <w:ind w:left="703" w:hanging="703"/>
        <w:jc w:val="both"/>
        <w:rPr>
          <w:rFonts w:asciiTheme="majorHAnsi" w:hAnsiTheme="majorHAnsi"/>
          <w:sz w:val="28"/>
          <w:szCs w:val="28"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5144"/>
      </w:tblGrid>
      <w:tr w:rsidR="00CF03C0" w:rsidRPr="008A37F3" w14:paraId="51A7281D" w14:textId="77777777" w:rsidTr="002A06AC">
        <w:trPr>
          <w:trHeight w:val="567"/>
          <w:jc w:val="center"/>
        </w:trPr>
        <w:tc>
          <w:tcPr>
            <w:tcW w:w="4972" w:type="dxa"/>
            <w:vAlign w:val="center"/>
          </w:tcPr>
          <w:p w14:paraId="15AE33D6" w14:textId="4F2B1A3F" w:rsidR="00CF03C0" w:rsidRPr="00D34062" w:rsidRDefault="0065445E" w:rsidP="0055227F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34062">
              <w:rPr>
                <w:rFonts w:asciiTheme="majorHAnsi" w:hAnsiTheme="majorHAnsi"/>
                <w:b/>
                <w:bCs/>
              </w:rPr>
              <w:t>Jméno a příjmení:</w:t>
            </w:r>
          </w:p>
        </w:tc>
        <w:tc>
          <w:tcPr>
            <w:tcW w:w="5144" w:type="dxa"/>
          </w:tcPr>
          <w:p w14:paraId="5707647E" w14:textId="5E2A84CF" w:rsidR="00CF03C0" w:rsidRPr="008A37F3" w:rsidRDefault="00CF03C0" w:rsidP="0055227F">
            <w:pPr>
              <w:jc w:val="both"/>
              <w:rPr>
                <w:rFonts w:asciiTheme="majorHAnsi" w:hAnsiTheme="majorHAnsi"/>
              </w:rPr>
            </w:pPr>
          </w:p>
        </w:tc>
      </w:tr>
      <w:tr w:rsidR="00CF03C0" w:rsidRPr="008A37F3" w14:paraId="6384A3F8" w14:textId="77777777" w:rsidTr="002A06AC">
        <w:trPr>
          <w:trHeight w:val="567"/>
          <w:jc w:val="center"/>
        </w:trPr>
        <w:tc>
          <w:tcPr>
            <w:tcW w:w="4972" w:type="dxa"/>
            <w:vAlign w:val="center"/>
          </w:tcPr>
          <w:p w14:paraId="14BAC16C" w14:textId="0F40EFA0" w:rsidR="00CF03C0" w:rsidRPr="00D34062" w:rsidRDefault="00CF03C0" w:rsidP="0055227F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34062">
              <w:rPr>
                <w:rFonts w:asciiTheme="majorHAnsi" w:hAnsiTheme="majorHAnsi"/>
                <w:b/>
                <w:bCs/>
              </w:rPr>
              <w:t>Adresa</w:t>
            </w:r>
            <w:r w:rsidR="00223C63" w:rsidRPr="00D34062">
              <w:rPr>
                <w:rFonts w:asciiTheme="majorHAnsi" w:hAnsiTheme="majorHAnsi"/>
                <w:b/>
                <w:bCs/>
              </w:rPr>
              <w:t>:</w:t>
            </w:r>
          </w:p>
        </w:tc>
        <w:tc>
          <w:tcPr>
            <w:tcW w:w="5144" w:type="dxa"/>
          </w:tcPr>
          <w:p w14:paraId="5B9AFA64" w14:textId="2035F19C" w:rsidR="00CF03C0" w:rsidRPr="008A37F3" w:rsidRDefault="00CF03C0" w:rsidP="000C7407">
            <w:pPr>
              <w:jc w:val="both"/>
              <w:rPr>
                <w:rFonts w:asciiTheme="majorHAnsi" w:hAnsiTheme="majorHAnsi"/>
              </w:rPr>
            </w:pPr>
          </w:p>
        </w:tc>
      </w:tr>
      <w:tr w:rsidR="00CF03C0" w:rsidRPr="008A37F3" w14:paraId="51E59129" w14:textId="77777777" w:rsidTr="002A06AC">
        <w:trPr>
          <w:trHeight w:val="567"/>
          <w:jc w:val="center"/>
        </w:trPr>
        <w:tc>
          <w:tcPr>
            <w:tcW w:w="4972" w:type="dxa"/>
            <w:vAlign w:val="center"/>
          </w:tcPr>
          <w:p w14:paraId="72935288" w14:textId="61050B3D" w:rsidR="00CF03C0" w:rsidRPr="00D34062" w:rsidRDefault="0065445E" w:rsidP="0055227F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34062">
              <w:rPr>
                <w:rFonts w:asciiTheme="majorHAnsi" w:hAnsiTheme="majorHAnsi"/>
                <w:b/>
                <w:bCs/>
              </w:rPr>
              <w:t>Datum narození</w:t>
            </w:r>
          </w:p>
        </w:tc>
        <w:tc>
          <w:tcPr>
            <w:tcW w:w="5144" w:type="dxa"/>
          </w:tcPr>
          <w:p w14:paraId="18D22BC3" w14:textId="4394651E" w:rsidR="00CF03C0" w:rsidRPr="00EA4E0F" w:rsidRDefault="00CF03C0" w:rsidP="0055227F">
            <w:pPr>
              <w:jc w:val="both"/>
              <w:rPr>
                <w:rFonts w:asciiTheme="majorHAnsi" w:hAnsiTheme="majorHAnsi"/>
              </w:rPr>
            </w:pPr>
          </w:p>
        </w:tc>
      </w:tr>
      <w:tr w:rsidR="009D3033" w:rsidRPr="008A37F3" w14:paraId="5298402B" w14:textId="77777777" w:rsidTr="002A06AC">
        <w:trPr>
          <w:trHeight w:val="567"/>
          <w:jc w:val="center"/>
        </w:trPr>
        <w:tc>
          <w:tcPr>
            <w:tcW w:w="4972" w:type="dxa"/>
            <w:vAlign w:val="center"/>
          </w:tcPr>
          <w:p w14:paraId="1E107FF3" w14:textId="6B34D533" w:rsidR="009D3033" w:rsidRPr="00D34062" w:rsidRDefault="009D3033" w:rsidP="009D3033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34062">
              <w:rPr>
                <w:rFonts w:asciiTheme="majorHAnsi" w:hAnsiTheme="majorHAnsi"/>
                <w:b/>
                <w:bCs/>
              </w:rPr>
              <w:t>(Spolu)vlastněný pozemek v katastrálním území</w:t>
            </w:r>
          </w:p>
        </w:tc>
        <w:tc>
          <w:tcPr>
            <w:tcW w:w="5144" w:type="dxa"/>
          </w:tcPr>
          <w:p w14:paraId="7A0951E9" w14:textId="77777777" w:rsidR="009D3033" w:rsidRPr="00EA4E0F" w:rsidRDefault="009D3033" w:rsidP="009D3033">
            <w:pPr>
              <w:jc w:val="both"/>
              <w:rPr>
                <w:rFonts w:asciiTheme="majorHAnsi" w:hAnsiTheme="majorHAnsi"/>
              </w:rPr>
            </w:pPr>
          </w:p>
        </w:tc>
      </w:tr>
      <w:tr w:rsidR="00CF03C0" w:rsidRPr="008A37F3" w14:paraId="61ECBCA6" w14:textId="77777777" w:rsidTr="002A06AC">
        <w:trPr>
          <w:trHeight w:val="567"/>
          <w:jc w:val="center"/>
        </w:trPr>
        <w:tc>
          <w:tcPr>
            <w:tcW w:w="4972" w:type="dxa"/>
            <w:vAlign w:val="center"/>
          </w:tcPr>
          <w:p w14:paraId="6EAA216C" w14:textId="17659460" w:rsidR="00CF03C0" w:rsidRPr="00D34062" w:rsidRDefault="00223C63" w:rsidP="0055227F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34062">
              <w:rPr>
                <w:rFonts w:asciiTheme="majorHAnsi" w:hAnsiTheme="majorHAnsi"/>
                <w:b/>
                <w:bCs/>
              </w:rPr>
              <w:t>Území</w:t>
            </w:r>
            <w:r w:rsidR="00CF03C0" w:rsidRPr="00D34062">
              <w:rPr>
                <w:rFonts w:asciiTheme="majorHAnsi" w:hAnsiTheme="majorHAnsi"/>
                <w:b/>
                <w:bCs/>
              </w:rPr>
              <w:t xml:space="preserve"> dotčené připomínkou:</w:t>
            </w:r>
          </w:p>
        </w:tc>
        <w:tc>
          <w:tcPr>
            <w:tcW w:w="5144" w:type="dxa"/>
          </w:tcPr>
          <w:p w14:paraId="0FD10D02" w14:textId="69D908D4" w:rsidR="00CF03C0" w:rsidRPr="008A37F3" w:rsidRDefault="00223C63" w:rsidP="0055227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Katastrální území obce </w:t>
            </w:r>
            <w:r w:rsidR="00D34062">
              <w:rPr>
                <w:rFonts w:asciiTheme="majorHAnsi" w:hAnsiTheme="majorHAnsi"/>
              </w:rPr>
              <w:t>Nosálov</w:t>
            </w:r>
          </w:p>
        </w:tc>
      </w:tr>
      <w:tr w:rsidR="00CF03C0" w:rsidRPr="008A37F3" w14:paraId="6D7950A3" w14:textId="77777777" w:rsidTr="002A06AC">
        <w:trPr>
          <w:trHeight w:val="2167"/>
          <w:jc w:val="center"/>
        </w:trPr>
        <w:tc>
          <w:tcPr>
            <w:tcW w:w="10116" w:type="dxa"/>
            <w:gridSpan w:val="2"/>
          </w:tcPr>
          <w:p w14:paraId="520E0B9D" w14:textId="77777777" w:rsidR="00CF03C0" w:rsidRPr="007E3FB5" w:rsidRDefault="00CF03C0" w:rsidP="0055227F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</w:pPr>
            <w:r w:rsidRPr="007E3FB5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>Text připomínky</w:t>
            </w:r>
          </w:p>
          <w:p w14:paraId="5D38F76F" w14:textId="429C38E1" w:rsidR="0018575C" w:rsidRPr="00CF03C0" w:rsidRDefault="00CF03C0" w:rsidP="0055227F">
            <w:pPr>
              <w:jc w:val="both"/>
              <w:rPr>
                <w:rFonts w:asciiTheme="majorHAnsi" w:hAnsiTheme="majorHAnsi"/>
              </w:rPr>
            </w:pPr>
            <w:r w:rsidRPr="00E5789F">
              <w:rPr>
                <w:rFonts w:asciiTheme="majorHAnsi" w:hAnsiTheme="majorHAnsi"/>
              </w:rPr>
              <w:t>Podatel</w:t>
            </w:r>
            <w:r>
              <w:rPr>
                <w:rFonts w:asciiTheme="majorHAnsi" w:hAnsiTheme="majorHAnsi"/>
              </w:rPr>
              <w:t xml:space="preserve"> </w:t>
            </w:r>
            <w:r w:rsidR="00F576CC">
              <w:rPr>
                <w:rFonts w:asciiTheme="majorHAnsi" w:hAnsiTheme="majorHAnsi"/>
              </w:rPr>
              <w:t xml:space="preserve">nesouhlasí s vymezením akcelerační oblasti </w:t>
            </w:r>
            <w:r w:rsidR="00BA6567">
              <w:rPr>
                <w:rFonts w:asciiTheme="majorHAnsi" w:hAnsiTheme="majorHAnsi"/>
              </w:rPr>
              <w:t>AOV84</w:t>
            </w:r>
            <w:r w:rsidR="00B35472">
              <w:rPr>
                <w:rFonts w:asciiTheme="majorHAnsi" w:hAnsiTheme="majorHAnsi"/>
              </w:rPr>
              <w:t xml:space="preserve"> </w:t>
            </w:r>
            <w:r w:rsidR="00F576CC">
              <w:rPr>
                <w:rFonts w:asciiTheme="majorHAnsi" w:hAnsiTheme="majorHAnsi"/>
              </w:rPr>
              <w:t xml:space="preserve">a žádá, aby tato akcelerační oblast nebyla ve Změně č. 2 </w:t>
            </w:r>
            <w:r w:rsidR="00C977A5">
              <w:rPr>
                <w:rFonts w:asciiTheme="majorHAnsi" w:hAnsiTheme="majorHAnsi"/>
              </w:rPr>
              <w:t xml:space="preserve">Územního rozvojového plánu </w:t>
            </w:r>
            <w:r w:rsidR="00F576CC">
              <w:rPr>
                <w:rFonts w:asciiTheme="majorHAnsi" w:hAnsiTheme="majorHAnsi"/>
              </w:rPr>
              <w:t>vymezena</w:t>
            </w:r>
            <w:r w:rsidR="00F96F78">
              <w:rPr>
                <w:rFonts w:asciiTheme="majorHAnsi" w:hAnsiTheme="majorHAnsi"/>
              </w:rPr>
              <w:t xml:space="preserve"> a aby nebylo vydáno územní opatření </w:t>
            </w:r>
            <w:r w:rsidR="00BA6567">
              <w:rPr>
                <w:rFonts w:asciiTheme="majorHAnsi" w:hAnsiTheme="majorHAnsi"/>
              </w:rPr>
              <w:t>AOV84</w:t>
            </w:r>
            <w:r w:rsidR="00F96F78" w:rsidRPr="001E1D14">
              <w:rPr>
                <w:rFonts w:asciiTheme="majorHAnsi" w:hAnsiTheme="majorHAnsi"/>
              </w:rPr>
              <w:t>.</w:t>
            </w:r>
          </w:p>
        </w:tc>
      </w:tr>
      <w:tr w:rsidR="00D04182" w:rsidRPr="008A37F3" w14:paraId="2D3BF90F" w14:textId="77777777" w:rsidTr="002A06AC">
        <w:trPr>
          <w:trHeight w:val="454"/>
          <w:jc w:val="center"/>
        </w:trPr>
        <w:tc>
          <w:tcPr>
            <w:tcW w:w="10116" w:type="dxa"/>
            <w:gridSpan w:val="2"/>
          </w:tcPr>
          <w:p w14:paraId="4F98B506" w14:textId="77777777" w:rsidR="00791DB2" w:rsidRDefault="00D04182" w:rsidP="00CB3DE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</w:pPr>
            <w:r w:rsidRPr="00C246BF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>Odůvodnění uplatněné připomínk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>y</w:t>
            </w:r>
          </w:p>
          <w:p w14:paraId="67A00335" w14:textId="77777777" w:rsidR="005763B6" w:rsidRPr="009D3033" w:rsidRDefault="005763B6" w:rsidP="00791DB2">
            <w:pPr>
              <w:pStyle w:val="Odstavecseseznamem"/>
              <w:numPr>
                <w:ilvl w:val="0"/>
                <w:numId w:val="29"/>
              </w:num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</w:pPr>
            <w:r w:rsidRPr="009D3033">
              <w:rPr>
                <w:rFonts w:asciiTheme="majorHAnsi" w:hAnsiTheme="majorHAnsi"/>
                <w:b/>
                <w:bCs/>
                <w:u w:val="single"/>
              </w:rPr>
              <w:t>Direktivní vymezení AOV</w:t>
            </w:r>
          </w:p>
          <w:p w14:paraId="5BB0CD86" w14:textId="09746144" w:rsidR="003D5BBC" w:rsidRPr="003D5BBC" w:rsidRDefault="005763B6" w:rsidP="005763B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Podatel se domnívá, že není nezbytné (a neplyne to ani ze směrnice EU RED III), aby </w:t>
            </w:r>
            <w:r w:rsidR="009C43FB">
              <w:rPr>
                <w:rFonts w:asciiTheme="majorHAnsi" w:hAnsiTheme="majorHAnsi"/>
              </w:rPr>
              <w:t>akcelerační oblasti pro VTE (dále jen „AOV“)</w:t>
            </w:r>
            <w:r>
              <w:rPr>
                <w:rFonts w:asciiTheme="majorHAnsi" w:hAnsiTheme="majorHAnsi"/>
              </w:rPr>
              <w:t xml:space="preserve"> byly vymezeny direktivně na celostátní úrovni. Je naprosto dostačující, když by Změna č. 2 Územního rozvojového plánu (dále jen „Změna č. 2“) dala obcím povinnost, aby </w:t>
            </w:r>
            <w:r w:rsidR="00576A5C">
              <w:rPr>
                <w:rFonts w:asciiTheme="majorHAnsi" w:hAnsiTheme="majorHAnsi"/>
              </w:rPr>
              <w:t xml:space="preserve">prověřily možnosti vymezení AOV v územních plánech. </w:t>
            </w:r>
            <w:r w:rsidR="009A41F4">
              <w:rPr>
                <w:rFonts w:asciiTheme="majorHAnsi" w:hAnsiTheme="majorHAnsi"/>
              </w:rPr>
              <w:t>Na základě tohoto pokynu by samosprávy</w:t>
            </w:r>
            <w:r w:rsidR="00576A5C">
              <w:rPr>
                <w:rFonts w:asciiTheme="majorHAnsi" w:hAnsiTheme="majorHAnsi"/>
              </w:rPr>
              <w:t xml:space="preserve"> znal</w:t>
            </w:r>
            <w:r w:rsidR="009A41F4">
              <w:rPr>
                <w:rFonts w:asciiTheme="majorHAnsi" w:hAnsiTheme="majorHAnsi"/>
              </w:rPr>
              <w:t>é</w:t>
            </w:r>
            <w:r w:rsidR="00576A5C">
              <w:rPr>
                <w:rFonts w:asciiTheme="majorHAnsi" w:hAnsiTheme="majorHAnsi"/>
              </w:rPr>
              <w:t xml:space="preserve"> místních poměrů </w:t>
            </w:r>
            <w:r w:rsidR="009A41F4">
              <w:rPr>
                <w:rFonts w:asciiTheme="majorHAnsi" w:hAnsiTheme="majorHAnsi"/>
              </w:rPr>
              <w:t xml:space="preserve">po </w:t>
            </w:r>
            <w:r w:rsidR="00576A5C">
              <w:rPr>
                <w:rFonts w:asciiTheme="majorHAnsi" w:hAnsiTheme="majorHAnsi"/>
              </w:rPr>
              <w:t>dohodě s občany vymezily vhodné lokality</w:t>
            </w:r>
            <w:r w:rsidR="009A41F4">
              <w:rPr>
                <w:rFonts w:asciiTheme="majorHAnsi" w:hAnsiTheme="majorHAnsi"/>
              </w:rPr>
              <w:t xml:space="preserve"> pro VTE</w:t>
            </w:r>
            <w:r w:rsidR="00576A5C">
              <w:rPr>
                <w:rFonts w:asciiTheme="majorHAnsi" w:hAnsiTheme="majorHAnsi"/>
              </w:rPr>
              <w:t xml:space="preserve">. Díky tomu by </w:t>
            </w:r>
            <w:r w:rsidR="0094687A">
              <w:rPr>
                <w:rFonts w:asciiTheme="majorHAnsi" w:hAnsiTheme="majorHAnsi"/>
              </w:rPr>
              <w:t>byly zohledněny s potřebnou pečlivostí a v nutné podrobnosti</w:t>
            </w:r>
            <w:r w:rsidR="00C372AA">
              <w:rPr>
                <w:rFonts w:asciiTheme="majorHAnsi" w:hAnsiTheme="majorHAnsi"/>
              </w:rPr>
              <w:t xml:space="preserve"> </w:t>
            </w:r>
            <w:r w:rsidR="00576A5C">
              <w:rPr>
                <w:rFonts w:asciiTheme="majorHAnsi" w:hAnsiTheme="majorHAnsi"/>
              </w:rPr>
              <w:lastRenderedPageBreak/>
              <w:t>zásah</w:t>
            </w:r>
            <w:r w:rsidR="0094687A">
              <w:rPr>
                <w:rFonts w:asciiTheme="majorHAnsi" w:hAnsiTheme="majorHAnsi"/>
              </w:rPr>
              <w:t xml:space="preserve">y </w:t>
            </w:r>
            <w:r w:rsidR="00576A5C">
              <w:rPr>
                <w:rFonts w:asciiTheme="majorHAnsi" w:hAnsiTheme="majorHAnsi"/>
              </w:rPr>
              <w:t xml:space="preserve">do veřejných zájmů, které není možné na úrovni Změny č. 2 zhodnotit, neboť to její velké měřítko neumožňuje. </w:t>
            </w:r>
          </w:p>
          <w:p w14:paraId="3B17D358" w14:textId="08413CE9" w:rsidR="00D50F6F" w:rsidRPr="009D3033" w:rsidRDefault="00D04182" w:rsidP="00791DB2">
            <w:pPr>
              <w:pStyle w:val="Odstavecseseznamem"/>
              <w:numPr>
                <w:ilvl w:val="0"/>
                <w:numId w:val="29"/>
              </w:num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</w:pPr>
            <w:r w:rsidRPr="00791DB2">
              <w:rPr>
                <w:rFonts w:asciiTheme="majorHAnsi" w:hAnsiTheme="majorHAnsi"/>
                <w:b/>
                <w:bCs/>
              </w:rPr>
              <w:t xml:space="preserve"> </w:t>
            </w:r>
            <w:r w:rsidR="00B35472" w:rsidRPr="009D3033">
              <w:rPr>
                <w:rFonts w:asciiTheme="majorHAnsi" w:hAnsiTheme="majorHAnsi"/>
                <w:b/>
                <w:bCs/>
                <w:u w:val="single"/>
              </w:rPr>
              <w:t>Diskriminační vymezení AOV</w:t>
            </w:r>
          </w:p>
          <w:p w14:paraId="3215573D" w14:textId="5114B310" w:rsidR="007D689A" w:rsidRDefault="00B35472" w:rsidP="00B35472">
            <w:pPr>
              <w:jc w:val="both"/>
            </w:pPr>
            <w:r>
              <w:t xml:space="preserve">Ve Změně č. 2 </w:t>
            </w:r>
            <w:r w:rsidRPr="007663DB">
              <w:t xml:space="preserve">ÚRP není dostatečně vysvětleno, proč je třeba </w:t>
            </w:r>
            <w:r w:rsidR="00BC0FED">
              <w:t xml:space="preserve">vymezit </w:t>
            </w:r>
            <w:r w:rsidRPr="007663DB">
              <w:t xml:space="preserve">akcelerační oblasti právě </w:t>
            </w:r>
            <w:r w:rsidR="00BC0FED">
              <w:t>tak, jak to činí Změna č. 2</w:t>
            </w:r>
            <w:r w:rsidR="007D689A">
              <w:t xml:space="preserve">, jinými slovy není pochopitelné, proč právě počet AOV, se kterým Změna č. 2 počítá, povede </w:t>
            </w:r>
            <w:r w:rsidR="007D689A" w:rsidRPr="007663DB">
              <w:t>ke splnění klimatických a energetických cílů a</w:t>
            </w:r>
            <w:r w:rsidR="007D689A">
              <w:t xml:space="preserve"> proč</w:t>
            </w:r>
            <w:r w:rsidR="007D689A" w:rsidRPr="007663DB">
              <w:t xml:space="preserve"> vymezení jiné oblasti již ne</w:t>
            </w:r>
            <w:r w:rsidR="007D689A">
              <w:t>ní zapotřebí</w:t>
            </w:r>
            <w:r w:rsidR="007D689A" w:rsidRPr="007663DB">
              <w:t xml:space="preserve"> nebo proč by klimatické a energetické cíle nemohly být plněny i bez </w:t>
            </w:r>
            <w:r w:rsidR="00BA6567">
              <w:t>AOV84</w:t>
            </w:r>
            <w:r w:rsidR="007D689A" w:rsidRPr="007663DB">
              <w:t xml:space="preserve">, když </w:t>
            </w:r>
            <w:r w:rsidR="007D689A">
              <w:t>není ke splnění těchto cílů (které ani nejsou ve Změně č. 2 specifikovány) zapotřebí ani o jednu AOV více</w:t>
            </w:r>
            <w:r w:rsidR="007D689A" w:rsidRPr="007663DB">
              <w:t>.</w:t>
            </w:r>
            <w:r w:rsidR="007D689A">
              <w:t xml:space="preserve">  </w:t>
            </w:r>
          </w:p>
          <w:p w14:paraId="2AA706AF" w14:textId="55888304" w:rsidR="00B35472" w:rsidRDefault="00BC0FED" w:rsidP="007D689A">
            <w:pPr>
              <w:jc w:val="both"/>
            </w:pPr>
            <w:r>
              <w:t>L</w:t>
            </w:r>
            <w:r w:rsidR="00B35472" w:rsidRPr="007663DB">
              <w:t xml:space="preserve">okalita, kde je </w:t>
            </w:r>
            <w:r w:rsidR="00BA6567">
              <w:t>AOV84</w:t>
            </w:r>
            <w:r w:rsidR="007D689A">
              <w:t xml:space="preserve"> přitom </w:t>
            </w:r>
            <w:r w:rsidR="00B35472" w:rsidRPr="007663DB">
              <w:t xml:space="preserve">není nijak výjimečná z hlediska potenciálu pro VTE (nebo alespoň není ve Změně č. 2 přesvědčivě popsáno, proč se </w:t>
            </w:r>
            <w:r w:rsidR="00BA6567">
              <w:t>AOV84</w:t>
            </w:r>
            <w:r w:rsidR="00B35472" w:rsidRPr="007663DB">
              <w:t xml:space="preserve"> svým větrným potenciálem tak výrazně odlišuje od dalších oblastí, kde AO</w:t>
            </w:r>
            <w:r>
              <w:t>V</w:t>
            </w:r>
            <w:r w:rsidR="00B35472" w:rsidRPr="007663DB">
              <w:t xml:space="preserve"> vymezeny nebyly). Lze tedy předpokládat, že existují i jiné shodné oblasti, kde však z nejasných důvodů AO</w:t>
            </w:r>
            <w:r>
              <w:t>V</w:t>
            </w:r>
            <w:r w:rsidR="00B35472" w:rsidRPr="007663DB">
              <w:t xml:space="preserve"> nebyly vymezeny</w:t>
            </w:r>
            <w:r>
              <w:t>.</w:t>
            </w:r>
            <w:r w:rsidR="007D689A">
              <w:t xml:space="preserve"> To považuje podatel za diskriminační.</w:t>
            </w:r>
            <w:r w:rsidR="00B35472">
              <w:t xml:space="preserve"> </w:t>
            </w:r>
          </w:p>
          <w:p w14:paraId="7ECD724E" w14:textId="2AFD8E2E" w:rsidR="00B35472" w:rsidRPr="009D3033" w:rsidRDefault="00D64C5B" w:rsidP="009D3033">
            <w:pPr>
              <w:jc w:val="both"/>
            </w:pPr>
            <w:r>
              <w:t>Diskriminovány jsou i samosprávy, na jejichž území jsou AO</w:t>
            </w:r>
            <w:r w:rsidR="000428E5">
              <w:t>V</w:t>
            </w:r>
            <w:r>
              <w:t xml:space="preserve"> vymezeny. </w:t>
            </w:r>
            <w:r w:rsidR="000428E5">
              <w:t>V</w:t>
            </w:r>
            <w:r>
              <w:t>ymezení AO</w:t>
            </w:r>
            <w:r w:rsidR="000428E5">
              <w:t>V totiž představuje</w:t>
            </w:r>
            <w:r>
              <w:t xml:space="preserve"> jakousi stavební uzávěru, kdy obec nemůže </w:t>
            </w:r>
            <w:r w:rsidR="000428E5">
              <w:t xml:space="preserve">v dotčeném území </w:t>
            </w:r>
            <w:r>
              <w:t>měnit územní plán podle svých potřeb, ale musí respektovat vymezenou AO</w:t>
            </w:r>
            <w:r w:rsidR="000428E5">
              <w:t>V</w:t>
            </w:r>
            <w:r>
              <w:t xml:space="preserve">. Vedle toho pak nebudou investoři VTE motivováni, aby s obcí uzavřeli férovou plánovací smlouvu a poskytli obci </w:t>
            </w:r>
            <w:r w:rsidR="000747BD">
              <w:t xml:space="preserve">a jejím občanům </w:t>
            </w:r>
            <w:r>
              <w:t>dostatečné kompenzace za negativní dopady provozu VTE</w:t>
            </w:r>
            <w:r w:rsidR="000747BD">
              <w:t>. Záměry VTE povolované v </w:t>
            </w:r>
            <w:r>
              <w:t>AO</w:t>
            </w:r>
            <w:r w:rsidR="000747BD">
              <w:t xml:space="preserve">V totiž </w:t>
            </w:r>
            <w:r>
              <w:t xml:space="preserve">budou </w:t>
            </w:r>
            <w:r w:rsidR="000747BD">
              <w:t>protežovány</w:t>
            </w:r>
            <w:r>
              <w:t xml:space="preserve"> a jejich výstavba výrazně usnadněna. Tato diskriminace přímo ovlivňuje i občany samospráv.</w:t>
            </w:r>
          </w:p>
          <w:p w14:paraId="038E38AC" w14:textId="6C1519DD" w:rsidR="00B35472" w:rsidRPr="009D3033" w:rsidRDefault="008F2B00" w:rsidP="00791DB2">
            <w:pPr>
              <w:pStyle w:val="Odstavecseseznamem"/>
              <w:numPr>
                <w:ilvl w:val="0"/>
                <w:numId w:val="29"/>
              </w:numPr>
              <w:jc w:val="both"/>
              <w:rPr>
                <w:rFonts w:asciiTheme="majorHAnsi" w:hAnsiTheme="majorHAnsi"/>
                <w:b/>
                <w:bCs/>
                <w:u w:val="single"/>
              </w:rPr>
            </w:pPr>
            <w:r w:rsidRPr="009D3033">
              <w:rPr>
                <w:rFonts w:asciiTheme="majorHAnsi" w:hAnsiTheme="majorHAnsi"/>
                <w:b/>
                <w:bCs/>
                <w:u w:val="single"/>
              </w:rPr>
              <w:t>Nedostatečné posouzení vlivů</w:t>
            </w:r>
          </w:p>
          <w:p w14:paraId="7BB17535" w14:textId="200901D8" w:rsidR="002669D7" w:rsidRDefault="008F2B00" w:rsidP="00791DB2">
            <w:pPr>
              <w:jc w:val="both"/>
            </w:pPr>
            <w:r>
              <w:t xml:space="preserve">Vymezení </w:t>
            </w:r>
            <w:r w:rsidR="002669D7">
              <w:t>AOV</w:t>
            </w:r>
            <w:r>
              <w:t xml:space="preserve"> s největší pravděpodobností povede k tomu, že záměry </w:t>
            </w:r>
            <w:r w:rsidR="002669D7">
              <w:t>VT</w:t>
            </w:r>
            <w:r>
              <w:t xml:space="preserve">E v nich umisťované budou upřednostňovány a nedojde už nikdy k řádnému posouzení jejich negativních dopadů na životní prostředí, na zdraví a životy lidí. Proto by mělo být vyhodnocení vlivů </w:t>
            </w:r>
            <w:r w:rsidR="002669D7">
              <w:t>Z</w:t>
            </w:r>
            <w:r>
              <w:t xml:space="preserve">měny č. 2 a územního opatření </w:t>
            </w:r>
            <w:r w:rsidRPr="00110497">
              <w:t xml:space="preserve">pro </w:t>
            </w:r>
            <w:r w:rsidR="00BA6567">
              <w:t>AOV84</w:t>
            </w:r>
            <w:r w:rsidRPr="00110497">
              <w:t xml:space="preserve"> extrémně podrobné a kvalitní, prakticky na úrovni EIA. </w:t>
            </w:r>
          </w:p>
          <w:p w14:paraId="2A1BFB5A" w14:textId="7D3952C9" w:rsidR="001C2546" w:rsidRDefault="008F2B00" w:rsidP="00791DB2">
            <w:pPr>
              <w:jc w:val="both"/>
            </w:pPr>
            <w:r w:rsidRPr="00110497">
              <w:t>Překážkou pro takové podrobné posouzení je ale fakt, že je měřítko Ú</w:t>
            </w:r>
            <w:r w:rsidR="003D2C14">
              <w:t>zemního rozvojového plánu</w:t>
            </w:r>
            <w:r w:rsidRPr="00110497">
              <w:t xml:space="preserve"> příliš velké a neumožňuje skutečně posoudit dopady vymezení AO</w:t>
            </w:r>
            <w:r w:rsidR="003D2C14">
              <w:t>V</w:t>
            </w:r>
            <w:r w:rsidRPr="00110497">
              <w:t xml:space="preserve"> (jiné by to bylo na úrovni územního plánu, resp. v procesu EIA se znalostí konkrétního záměru). </w:t>
            </w:r>
            <w:r w:rsidR="003D2C14">
              <w:t>Vzhledem k tomu, že n</w:t>
            </w:r>
            <w:r w:rsidRPr="00110497">
              <w:t>a vymezení akceleračních oblastí</w:t>
            </w:r>
            <w:r w:rsidR="003D2C14">
              <w:t xml:space="preserve"> </w:t>
            </w:r>
            <w:r w:rsidRPr="00110497">
              <w:t>naváže zrychlené a zjednodušené povolovací řízení před Dopravním a energetickým stavebním úřadem</w:t>
            </w:r>
            <w:r w:rsidR="003D2C14">
              <w:t xml:space="preserve"> (DESÚ)</w:t>
            </w:r>
            <w:r w:rsidRPr="00110497">
              <w:t>, v </w:t>
            </w:r>
            <w:proofErr w:type="gramStart"/>
            <w:r w:rsidRPr="00110497">
              <w:t>rámci</w:t>
            </w:r>
            <w:proofErr w:type="gramEnd"/>
            <w:r w:rsidRPr="00110497">
              <w:t xml:space="preserve"> kterého bude úřad </w:t>
            </w:r>
            <w:r w:rsidR="00D91334">
              <w:t xml:space="preserve">prakticky pouze </w:t>
            </w:r>
            <w:r w:rsidRPr="00110497">
              <w:t xml:space="preserve">ověřovat, zda jsou záměry v souladu s vágními a nicneříkajícími podmínkami územního opatření </w:t>
            </w:r>
            <w:r w:rsidR="00BA6567">
              <w:t>AOV84</w:t>
            </w:r>
            <w:r w:rsidRPr="00110497">
              <w:t xml:space="preserve">. V souladu s těmito obecnými podmínkami ale budou </w:t>
            </w:r>
            <w:r w:rsidR="00D91334">
              <w:t>téměř</w:t>
            </w:r>
            <w:r w:rsidRPr="00110497">
              <w:t xml:space="preserve"> jakékoliv záměry, což znamená, že vlivy VTE realizovaných v </w:t>
            </w:r>
            <w:r w:rsidR="00BA6567">
              <w:t>AOV84</w:t>
            </w:r>
            <w:r w:rsidRPr="00110497">
              <w:t xml:space="preserve"> nebudou nikdy reálně posouzeny.</w:t>
            </w:r>
            <w:r w:rsidR="001C2546">
              <w:t xml:space="preserve"> </w:t>
            </w:r>
          </w:p>
          <w:p w14:paraId="476F3CC3" w14:textId="30979075" w:rsidR="006C6216" w:rsidRDefault="006C6216" w:rsidP="00791DB2">
            <w:pPr>
              <w:jc w:val="both"/>
            </w:pPr>
            <w:r>
              <w:t xml:space="preserve">Podatel se domnívá, že je nezbytné, aby všechny vlivy VTE byly skutečně a podrobně posouzeny. Vágní posouzení Změny č. 2 nebo územního opatření </w:t>
            </w:r>
            <w:r w:rsidR="00BA6567">
              <w:t>AOV84</w:t>
            </w:r>
            <w:r>
              <w:t xml:space="preserve"> je naprosto nedostatečné.</w:t>
            </w:r>
            <w:r w:rsidR="006B3D96">
              <w:t xml:space="preserve"> Podatel se domnívá, že </w:t>
            </w:r>
            <w:r w:rsidR="00EA54DA">
              <w:t xml:space="preserve">vadné </w:t>
            </w:r>
            <w:r w:rsidR="006B3D96">
              <w:t>posouzení dopadů VTE může mít nejen</w:t>
            </w:r>
            <w:r w:rsidR="00103313">
              <w:t xml:space="preserve"> přímý</w:t>
            </w:r>
            <w:r w:rsidR="006B3D96">
              <w:t xml:space="preserve"> vliv na jeho zdraví včetně psychické pohody, ale také to může ovlivnit socioekonomický rozvoj obce, ve které žije. </w:t>
            </w:r>
          </w:p>
          <w:p w14:paraId="508E9845" w14:textId="40E9F547" w:rsidR="00927899" w:rsidRPr="00D64C5B" w:rsidRDefault="00BE5289" w:rsidP="00791DB2">
            <w:pPr>
              <w:jc w:val="both"/>
            </w:pPr>
            <w:r>
              <w:t xml:space="preserve">Podatel ještě připomíná, že nedošlo ke kumulativnímu zhodnocení vlivů v důsledku vymezení tří AOV v těsné blízkosti </w:t>
            </w:r>
            <w:r w:rsidR="0076775D">
              <w:t>(AOV82, AOV83 a AOV84).</w:t>
            </w:r>
          </w:p>
          <w:p w14:paraId="1D4E6E52" w14:textId="49E42706" w:rsidR="00D64C5B" w:rsidRPr="009D3033" w:rsidRDefault="00D64C5B" w:rsidP="00791DB2">
            <w:pPr>
              <w:pStyle w:val="Odstavecseseznamem"/>
              <w:numPr>
                <w:ilvl w:val="0"/>
                <w:numId w:val="29"/>
              </w:numPr>
              <w:jc w:val="both"/>
              <w:rPr>
                <w:rFonts w:asciiTheme="majorHAnsi" w:hAnsiTheme="majorHAnsi"/>
                <w:b/>
                <w:bCs/>
                <w:u w:val="single"/>
              </w:rPr>
            </w:pPr>
            <w:r w:rsidRPr="009D3033">
              <w:rPr>
                <w:rFonts w:asciiTheme="majorHAnsi" w:hAnsiTheme="majorHAnsi"/>
                <w:b/>
                <w:bCs/>
                <w:u w:val="single"/>
              </w:rPr>
              <w:t>Zanedbatelné pozitivní vlivy vymezení AO</w:t>
            </w:r>
          </w:p>
          <w:p w14:paraId="1B6B6261" w14:textId="06C3C6F7" w:rsidR="007B455A" w:rsidRPr="00D61EFD" w:rsidRDefault="007B455A" w:rsidP="007B455A">
            <w:pPr>
              <w:jc w:val="both"/>
              <w:rPr>
                <w:i/>
                <w:iCs/>
              </w:rPr>
            </w:pPr>
            <w:r>
              <w:t xml:space="preserve">V odůvodnění Změny č. 2 ani územního opatření není možné dohledat vyčíslení přínosu </w:t>
            </w:r>
            <w:r w:rsidR="00BA6567">
              <w:t>AOV84</w:t>
            </w:r>
            <w:r>
              <w:t xml:space="preserve"> pro snížení energetické závislosti anebo snížení produkce CO</w:t>
            </w:r>
            <w:r w:rsidRPr="0092766D">
              <w:rPr>
                <w:vertAlign w:val="subscript"/>
              </w:rPr>
              <w:t>2</w:t>
            </w:r>
            <w:r>
              <w:t xml:space="preserve">. Ve vyhodnocení vlivů územního opatření </w:t>
            </w:r>
            <w:r w:rsidR="00BA6567">
              <w:t>AOV84</w:t>
            </w:r>
            <w:r>
              <w:t xml:space="preserve"> se ale uvádí k pozitivním vlivům (přínosům) vymezení AOV a realizace VTE: „</w:t>
            </w:r>
            <w:r w:rsidR="00BA6567" w:rsidRPr="00BA6567">
              <w:rPr>
                <w:i/>
                <w:iCs/>
              </w:rPr>
              <w:t>Zanedbatelný až mírně pozitivní vliv k ochraně klimatu uplatnění AO se uplatní v globálním měřítku, tedy i z hlediska přeshraničního působení</w:t>
            </w:r>
            <w:r w:rsidRPr="003E0EF3">
              <w:rPr>
                <w:i/>
                <w:iCs/>
              </w:rPr>
              <w:t>.“</w:t>
            </w:r>
            <w:r>
              <w:rPr>
                <w:i/>
                <w:iCs/>
              </w:rPr>
              <w:t xml:space="preserve"> </w:t>
            </w:r>
            <w:r w:rsidRPr="00D61EFD">
              <w:lastRenderedPageBreak/>
              <w:t xml:space="preserve">V dokumentaci </w:t>
            </w:r>
            <w:r>
              <w:t>Změ</w:t>
            </w:r>
            <w:r w:rsidRPr="00D61EFD">
              <w:t xml:space="preserve">ny č. 2 a územního opatření je tedy </w:t>
            </w:r>
            <w:r>
              <w:t>přiznáno, že přínosy VTE realizovaných v </w:t>
            </w:r>
            <w:r w:rsidR="00BA6567">
              <w:t>AOV84</w:t>
            </w:r>
            <w:r>
              <w:t xml:space="preserve"> budou zanedbatelné, byť chybí konkrétní čísla. V takové situaci není pochopitelné, jak mohl zájem na vymezení </w:t>
            </w:r>
            <w:r w:rsidR="00BA6567">
              <w:t>AOV84</w:t>
            </w:r>
            <w:r>
              <w:t xml:space="preserve"> převážit nad ostatními konkrétně specifikovanými veřejnými zájmy, které naopak výstavba VTE ovlivní výrazně (byť to nekvalitně zpracované vyhodnocení Změny č. 2 a územního opatření nepřiznává).  </w:t>
            </w:r>
          </w:p>
          <w:p w14:paraId="01A9D2D2" w14:textId="3754896B" w:rsidR="007B455A" w:rsidRDefault="007B455A" w:rsidP="007B455A">
            <w:pPr>
              <w:jc w:val="both"/>
            </w:pPr>
            <w:r>
              <w:t xml:space="preserve">Dále se ve vyhodnocení územního opatření </w:t>
            </w:r>
            <w:r w:rsidR="00BA6567">
              <w:t>AOV84</w:t>
            </w:r>
            <w:r>
              <w:t xml:space="preserve"> uvádí:</w:t>
            </w:r>
            <w:r w:rsidRPr="00247B0A">
              <w:rPr>
                <w:i/>
                <w:iCs/>
              </w:rPr>
              <w:t xml:space="preserve"> „</w:t>
            </w:r>
            <w:r w:rsidR="00400FEC" w:rsidRPr="00400FEC">
              <w:rPr>
                <w:i/>
                <w:iCs/>
              </w:rPr>
              <w:t>Vlivy na ovzduší v době výstavby zanedbatelné (prašnost při přesunu zemin, emise ze spalování PHM, sekundární prašnost), v době provozu mírně pozitivní z důvodu náhrady spalovacích zdrojů při výrobě el. energie</w:t>
            </w:r>
            <w:r w:rsidRPr="0066197E">
              <w:rPr>
                <w:i/>
                <w:iCs/>
              </w:rPr>
              <w:t>.“</w:t>
            </w:r>
            <w:r>
              <w:rPr>
                <w:i/>
                <w:iCs/>
              </w:rPr>
              <w:t xml:space="preserve"> </w:t>
            </w:r>
            <w:r>
              <w:t>Vzhledem k tomu, že se ve vyhodnocení uvádí, že</w:t>
            </w:r>
            <w:r>
              <w:rPr>
                <w:i/>
                <w:iCs/>
              </w:rPr>
              <w:t xml:space="preserve"> </w:t>
            </w:r>
            <w:r>
              <w:t xml:space="preserve">vliv </w:t>
            </w:r>
            <w:r w:rsidR="00BA6567">
              <w:t>AOV84</w:t>
            </w:r>
            <w:r>
              <w:t xml:space="preserve"> na ochranu klimatu bude zanedbatelný, bude logicky zanedbatelný rozsah, ve kterém VTE realizované v </w:t>
            </w:r>
            <w:r w:rsidR="00BA6567">
              <w:t>AOV84</w:t>
            </w:r>
            <w:r>
              <w:t xml:space="preserve"> nahradí spalovací zdroje. Změna č. 2 ani územní opatření tento závěr nevyvrací, neobsahují totiž vyčíslení toho, v jak velkém rozsahu VTE realizované v </w:t>
            </w:r>
            <w:r w:rsidR="00BA6567">
              <w:t>AOV84</w:t>
            </w:r>
            <w:r>
              <w:t xml:space="preserve"> nahradí spalovací zdroje a jaký přesně vliv bude mít tato náhrada na cíle sledované Změnou č. 2, tedy snížení energetické závislosti ČR a snížení produkce CO</w:t>
            </w:r>
            <w:r w:rsidRPr="0013783D">
              <w:rPr>
                <w:vertAlign w:val="subscript"/>
              </w:rPr>
              <w:t>2</w:t>
            </w:r>
            <w:r>
              <w:t xml:space="preserve">. Je také třeba řádně vyhodnotit, proč těchto cílů nelze dosáhnout jinými způsoby (zvýšení počtu bloků JEDU, popř. JETE, rozvoj vodíkové infrastruktury v souladu s Vodíkovou strategií ČR, větší důraz na rozvoj FVE). Proto ani blíže nespecifikovaná náhrada spalovacích zdrojů není důvod, proč by měl zájem na vymezení </w:t>
            </w:r>
            <w:r w:rsidR="00BA6567">
              <w:t>AOV84</w:t>
            </w:r>
            <w:r>
              <w:t xml:space="preserve"> převážit nad jinými zájmy v území.</w:t>
            </w:r>
          </w:p>
          <w:p w14:paraId="4B53CAD3" w14:textId="2B920ECC" w:rsidR="00D64C5B" w:rsidRPr="009D3033" w:rsidRDefault="00D64C5B" w:rsidP="00791DB2">
            <w:pPr>
              <w:pStyle w:val="Odstavecseseznamem"/>
              <w:numPr>
                <w:ilvl w:val="0"/>
                <w:numId w:val="29"/>
              </w:numPr>
              <w:jc w:val="both"/>
              <w:rPr>
                <w:rFonts w:asciiTheme="majorHAnsi" w:hAnsiTheme="majorHAnsi"/>
                <w:b/>
                <w:bCs/>
                <w:u w:val="single"/>
              </w:rPr>
            </w:pPr>
            <w:r w:rsidRPr="009D3033">
              <w:rPr>
                <w:rFonts w:asciiTheme="majorHAnsi" w:hAnsiTheme="majorHAnsi"/>
                <w:b/>
                <w:bCs/>
                <w:u w:val="single"/>
              </w:rPr>
              <w:t>Výška VTE a rozloha AO</w:t>
            </w:r>
          </w:p>
          <w:p w14:paraId="4D61AED9" w14:textId="3D6D77DE" w:rsidR="00D64C5B" w:rsidRPr="00D64C5B" w:rsidRDefault="00D64C5B" w:rsidP="00D64C5B">
            <w:pPr>
              <w:jc w:val="both"/>
            </w:pPr>
            <w:r>
              <w:t xml:space="preserve">Ve Změně č. 2 ani v územním opatření pro </w:t>
            </w:r>
            <w:r w:rsidR="00BA6567">
              <w:t>AOV84</w:t>
            </w:r>
            <w:r>
              <w:t xml:space="preserve"> není vysvětleno, proč byla zvolena právě tato rozloha AO a proč má AO</w:t>
            </w:r>
            <w:r w:rsidR="000D2B97">
              <w:t>V</w:t>
            </w:r>
            <w:r>
              <w:t xml:space="preserve"> právě tyto konkrétní hranice</w:t>
            </w:r>
            <w:r w:rsidR="009E5493">
              <w:t xml:space="preserve"> a proč právě toto vymezení AOV povede ke splnění cílů Změny č. 2.</w:t>
            </w:r>
            <w:r>
              <w:t xml:space="preserve"> Jinými slovy není vysvětleno, proč nemůže být AO </w:t>
            </w:r>
            <w:r w:rsidR="008951C1">
              <w:t xml:space="preserve">vymezena jiným způsobem tak, aby kupř. byly VTE </w:t>
            </w:r>
            <w:r w:rsidR="008A14D7">
              <w:t xml:space="preserve">umisťovány v dostatečné </w:t>
            </w:r>
            <w:r w:rsidR="008951C1">
              <w:t>v</w:t>
            </w:r>
            <w:r w:rsidR="008A14D7">
              <w:t>zdá</w:t>
            </w:r>
            <w:r w:rsidR="008951C1">
              <w:t>l</w:t>
            </w:r>
            <w:r w:rsidR="008A14D7">
              <w:t xml:space="preserve">enosti </w:t>
            </w:r>
            <w:r w:rsidR="008951C1">
              <w:t xml:space="preserve">od zastavěného území a zastavitelných ploch podle územních plánů </w:t>
            </w:r>
            <w:r w:rsidR="008A14D7">
              <w:t>(min 1,5 km)</w:t>
            </w:r>
            <w:r w:rsidR="009E5493">
              <w:t xml:space="preserve"> a není porovnáno, zda by toto jiné vymezení AOV třeba také nevedlo ke splnění cílů Změny č. 2</w:t>
            </w:r>
            <w:r w:rsidR="008951C1">
              <w:t>.</w:t>
            </w:r>
            <w:r w:rsidR="009E5493">
              <w:t xml:space="preserve"> Podatel se domnívá, že to ale vzhledem k nespecifičnosti cílů Změny č. 2 není ani možné, proto by také vůbec neměla být </w:t>
            </w:r>
            <w:r w:rsidR="00BA6567">
              <w:t>AOV84</w:t>
            </w:r>
            <w:r w:rsidR="009E5493">
              <w:t xml:space="preserve"> vymezena.</w:t>
            </w:r>
            <w:r w:rsidR="008951C1">
              <w:t xml:space="preserve"> </w:t>
            </w:r>
          </w:p>
          <w:p w14:paraId="3FA31F6D" w14:textId="490476F1" w:rsidR="00791DB2" w:rsidRPr="009D3033" w:rsidRDefault="00D64C5B" w:rsidP="00791DB2">
            <w:pPr>
              <w:pStyle w:val="Odstavecseseznamem"/>
              <w:numPr>
                <w:ilvl w:val="0"/>
                <w:numId w:val="29"/>
              </w:numPr>
              <w:jc w:val="both"/>
              <w:rPr>
                <w:rFonts w:asciiTheme="majorHAnsi" w:hAnsiTheme="majorHAnsi"/>
                <w:b/>
                <w:bCs/>
                <w:u w:val="single"/>
              </w:rPr>
            </w:pPr>
            <w:r w:rsidRPr="009D3033">
              <w:rPr>
                <w:rFonts w:asciiTheme="majorHAnsi" w:hAnsiTheme="majorHAnsi"/>
                <w:b/>
                <w:bCs/>
                <w:u w:val="single"/>
              </w:rPr>
              <w:t>Hluková zátěž, vibrace a stroboskopický efekt</w:t>
            </w:r>
          </w:p>
          <w:p w14:paraId="6315A649" w14:textId="474F0642" w:rsidR="00D64C5B" w:rsidRDefault="00D64C5B" w:rsidP="00D64C5B">
            <w:pPr>
              <w:jc w:val="both"/>
            </w:pPr>
            <w:r>
              <w:t>Podatel zásadně nesouhlasí s tím, že Změna č. 2 ani příslušné územní opatření vůbec neřeší negativní dopady hluku</w:t>
            </w:r>
            <w:r w:rsidR="00925E49">
              <w:t>. H</w:t>
            </w:r>
            <w:r>
              <w:t xml:space="preserve">luk </w:t>
            </w:r>
            <w:r w:rsidR="00925E49">
              <w:t xml:space="preserve">totiž </w:t>
            </w:r>
            <w:r>
              <w:t>Změna č. 2</w:t>
            </w:r>
            <w:r w:rsidR="00925E49">
              <w:t xml:space="preserve"> chápe</w:t>
            </w:r>
            <w:r>
              <w:t xml:space="preserve"> jako normální integrální součást VTE, bez které to prostě nejde a je třeba se s tím smířit</w:t>
            </w:r>
            <w:r w:rsidR="009C571D">
              <w:t xml:space="preserve">. Tento přístup nejlépe demonstruje přirovnání hluku z VTE k v podstatě příjemnému </w:t>
            </w:r>
            <w:r>
              <w:t xml:space="preserve">„šumění lesa“, které mohou zaregistrovat jen neurotické osoby. </w:t>
            </w:r>
            <w:r w:rsidR="009C571D">
              <w:t>Podatel se proto domnívá, že hlukové vlivy nebyly zhodnoceny a ve skutečnosti to ani není možné bez znalosti konkrétního projektu.</w:t>
            </w:r>
            <w:r w:rsidR="00BE5289">
              <w:t xml:space="preserve"> Podatel zdůrazňuje, že nepovažuje za dostatečné, aby byla hluková zátěž řešena až v hlukové studii zpracované investorem. Takový přístup není schopný zajistit reálnou ochranu lidského zdraví.</w:t>
            </w:r>
          </w:p>
          <w:p w14:paraId="1B3EE1AE" w14:textId="0F9194AA" w:rsidR="00D64C5B" w:rsidRDefault="00D64C5B" w:rsidP="00D64C5B">
            <w:pPr>
              <w:jc w:val="both"/>
            </w:pPr>
            <w:r>
              <w:t>Podatel dále nesouhlasí s tím, že vůbec nedošlo k posouzení vlivů infrazvuku, nízkofrekvenčního hluku a vibrací, ačkoliv odborné studie upozorňují na rizika spojená s těmito doprovodnými jevy provozu VTE.</w:t>
            </w:r>
            <w:r w:rsidR="007C2270">
              <w:t xml:space="preserve"> Podatel se domnívá, že nebyl ani řádně zhodnocen vliv vibrací na nemovitosti.</w:t>
            </w:r>
          </w:p>
          <w:p w14:paraId="1F3EB663" w14:textId="137487D5" w:rsidR="00BE5289" w:rsidRPr="00D64C5B" w:rsidRDefault="00D64C5B" w:rsidP="00D64C5B">
            <w:pPr>
              <w:jc w:val="both"/>
            </w:pPr>
            <w:r>
              <w:t xml:space="preserve">Stejně tak nebyl řádně posouzen z hlediska vlivů tzv. stroboskopický efekt, kdy se posouzení zejména nezaměřilo na obtěžující dopady stroboskopického efektu. </w:t>
            </w:r>
          </w:p>
          <w:p w14:paraId="0BC79ACA" w14:textId="042AF0F2" w:rsidR="00D64C5B" w:rsidRPr="009D3033" w:rsidRDefault="00D64C5B" w:rsidP="00D64C5B">
            <w:pPr>
              <w:pStyle w:val="Odstavecseseznamem"/>
              <w:numPr>
                <w:ilvl w:val="0"/>
                <w:numId w:val="29"/>
              </w:numPr>
              <w:jc w:val="both"/>
              <w:rPr>
                <w:rFonts w:asciiTheme="majorHAnsi" w:hAnsiTheme="majorHAnsi"/>
                <w:b/>
                <w:bCs/>
                <w:u w:val="single"/>
              </w:rPr>
            </w:pPr>
            <w:r w:rsidRPr="009D3033">
              <w:rPr>
                <w:rFonts w:asciiTheme="majorHAnsi" w:hAnsiTheme="majorHAnsi"/>
                <w:b/>
                <w:bCs/>
                <w:u w:val="single"/>
              </w:rPr>
              <w:t>Vlivy na krajinný ráz</w:t>
            </w:r>
          </w:p>
          <w:p w14:paraId="5CE79C53" w14:textId="19032C8D" w:rsidR="00F13BCA" w:rsidRDefault="00D64C5B" w:rsidP="00D64C5B">
            <w:pPr>
              <w:jc w:val="both"/>
            </w:pPr>
            <w:r>
              <w:t>Větrné elektrárny mají zásadní vlivy na krajinný ráz.</w:t>
            </w:r>
            <w:r w:rsidR="00F13BCA">
              <w:t xml:space="preserve"> Ve Vyhodnocení vlivů územního opatření </w:t>
            </w:r>
            <w:r w:rsidR="00BA6567">
              <w:t>AOV84</w:t>
            </w:r>
            <w:r w:rsidR="00F13BCA">
              <w:t xml:space="preserve"> se uvádí: „</w:t>
            </w:r>
            <w:r w:rsidR="00BD1A13" w:rsidRPr="00BD1A13">
              <w:rPr>
                <w:i/>
                <w:iCs/>
              </w:rPr>
              <w:t xml:space="preserve">Z analýzy viditelnosti vyplývá, že hodnocené území se vyznačuje mimořádně citlivým vztahem ke krajině CHKO Kokořínsko a k ikonické dominantě Bezdězu, přičemž současně obsahuje vysokou koncentraci kulturně-historických hodnot. V bezprostředním okolí se nachází hradiště </w:t>
            </w:r>
            <w:proofErr w:type="spellStart"/>
            <w:r w:rsidR="00BD1A13" w:rsidRPr="00BD1A13">
              <w:rPr>
                <w:i/>
                <w:iCs/>
              </w:rPr>
              <w:t>Hradiště</w:t>
            </w:r>
            <w:proofErr w:type="spellEnd"/>
            <w:r w:rsidR="00BD1A13" w:rsidRPr="00BD1A13">
              <w:rPr>
                <w:i/>
                <w:iCs/>
              </w:rPr>
              <w:t xml:space="preserve">, kostel Narození Panny Marie, kostel sv. Václava s farou, kaple Nejsvětější Trojice a historická venkovská zástavba. </w:t>
            </w:r>
            <w:r w:rsidR="00BD1A13" w:rsidRPr="00BD1A13">
              <w:rPr>
                <w:i/>
                <w:iCs/>
              </w:rPr>
              <w:lastRenderedPageBreak/>
              <w:t>Ve vzdálenosti do 2 km navazují kostel Povýšení sv. Kříže, pivovar a zámek. V širším území do 5 km se uplatňují další významné památky, včetně hradu Houska, hradiště Hrádek, kostelů, sochařských děl a zříceniny kostela Nejsvětější Trojice. Ve vzdálenosti do 15 km se pak koncentrují zásadní dominanty širšího regionu, zejména areál hradu Bezděz, hrad Kokořín, hrad Michalovice, hradiště a rozsáhlý soubor sakrálních i světských staveb. Území je přímým kontaktním prostorem okrajů CHKO Kokořínsko a současně prostorem, v němž je nutné zachovat nerušené výhledy na Bezděz i jeho pozadí při pohledech z Ještědského hřbetu v ose severovýchod–jihozápad. Zároveň je třeba respektovat obraz Mšena a scenérie Kokořínska jako celku. Jde tedy o území, kde se střetává vysoká koncentrace památek s mimořádně citlivým krajinným kontextem</w:t>
            </w:r>
            <w:r w:rsidR="00D769FB" w:rsidRPr="00D769FB">
              <w:rPr>
                <w:i/>
                <w:iCs/>
              </w:rPr>
              <w:t>.</w:t>
            </w:r>
            <w:r w:rsidR="00D769FB">
              <w:rPr>
                <w:i/>
                <w:iCs/>
              </w:rPr>
              <w:t>“</w:t>
            </w:r>
          </w:p>
          <w:p w14:paraId="45AE1A5A" w14:textId="53F04B5F" w:rsidR="00D64C5B" w:rsidRDefault="00F13BCA" w:rsidP="00D64C5B">
            <w:pPr>
              <w:jc w:val="both"/>
            </w:pPr>
            <w:r>
              <w:t xml:space="preserve">Jak je možné, že všechny tyto vlivy jsou hodnoceny jako zanedbatelné, když přitom VTE budou představovat novou dominantu, která jednoznačně výrazně ovlivní krajinu, to není ve Změně č. 2 ani v územním opatření vysvětleno. </w:t>
            </w:r>
          </w:p>
          <w:p w14:paraId="32427ABA" w14:textId="788BA9A0" w:rsidR="00D64C5B" w:rsidRPr="00D64C5B" w:rsidRDefault="00EA73E6" w:rsidP="00D64C5B">
            <w:pPr>
              <w:jc w:val="both"/>
            </w:pPr>
            <w:r>
              <w:t xml:space="preserve">Vliv VTE na krajinný ráz bude mít ještě další dopady – již napořád bude hodnota krajinného rázu snížena, takže bude možné do území umisťovat i další záměry, které by jinak kvůli ochraně krajinného rázu nebyly přípustné. </w:t>
            </w:r>
          </w:p>
          <w:p w14:paraId="22E3E60E" w14:textId="03DDC37D" w:rsidR="00D64C5B" w:rsidRPr="009D3033" w:rsidRDefault="0073038D" w:rsidP="00791DB2">
            <w:pPr>
              <w:pStyle w:val="Odstavecseseznamem"/>
              <w:numPr>
                <w:ilvl w:val="0"/>
                <w:numId w:val="29"/>
              </w:numPr>
              <w:jc w:val="both"/>
              <w:rPr>
                <w:rFonts w:asciiTheme="majorHAnsi" w:hAnsiTheme="majorHAnsi"/>
                <w:b/>
                <w:bCs/>
                <w:u w:val="single"/>
              </w:rPr>
            </w:pPr>
            <w:r w:rsidRPr="009D3033">
              <w:rPr>
                <w:rFonts w:asciiTheme="majorHAnsi" w:hAnsiTheme="majorHAnsi"/>
                <w:b/>
                <w:bCs/>
                <w:u w:val="single"/>
              </w:rPr>
              <w:t xml:space="preserve">Další negativní vlivy </w:t>
            </w:r>
            <w:r w:rsidR="00BA6567">
              <w:rPr>
                <w:rFonts w:asciiTheme="majorHAnsi" w:hAnsiTheme="majorHAnsi"/>
                <w:b/>
                <w:bCs/>
                <w:u w:val="single"/>
              </w:rPr>
              <w:t>AOV84</w:t>
            </w:r>
            <w:r w:rsidR="00D64C5B" w:rsidRPr="009D3033">
              <w:rPr>
                <w:rFonts w:asciiTheme="majorHAnsi" w:hAnsiTheme="majorHAnsi"/>
                <w:b/>
                <w:bCs/>
                <w:u w:val="single"/>
              </w:rPr>
              <w:t xml:space="preserve"> </w:t>
            </w:r>
          </w:p>
          <w:p w14:paraId="4E755B3A" w14:textId="77777777" w:rsidR="005763B6" w:rsidRDefault="0073038D" w:rsidP="00581E7F">
            <w:pPr>
              <w:pStyle w:val="Odstavecseseznamem"/>
              <w:numPr>
                <w:ilvl w:val="0"/>
                <w:numId w:val="30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Prostor pro individuální připomínky</w:t>
            </w:r>
            <w:r w:rsidR="00581E7F">
              <w:rPr>
                <w:rFonts w:asciiTheme="majorHAnsi" w:hAnsiTheme="majorHAnsi"/>
              </w:rPr>
              <w:t>: l</w:t>
            </w:r>
            <w:r w:rsidRPr="00581E7F">
              <w:rPr>
                <w:rFonts w:asciiTheme="majorHAnsi" w:hAnsiTheme="majorHAnsi"/>
              </w:rPr>
              <w:t xml:space="preserve">ze doplnit např. obavy z negativního vlivu vymezení AOV na zvířata, na ekosystémy, na vodní poměry v území, na zemědělský půdní fond, na ekosystémy… </w:t>
            </w:r>
            <w:r w:rsidR="00EA73E6" w:rsidRPr="00581E7F">
              <w:rPr>
                <w:rFonts w:asciiTheme="majorHAnsi" w:hAnsiTheme="majorHAnsi"/>
              </w:rPr>
              <w:t xml:space="preserve"> </w:t>
            </w:r>
          </w:p>
          <w:p w14:paraId="2741D102" w14:textId="77777777" w:rsidR="009D3033" w:rsidRDefault="009D3033" w:rsidP="009D3033">
            <w:pPr>
              <w:jc w:val="both"/>
              <w:rPr>
                <w:rFonts w:asciiTheme="majorHAnsi" w:hAnsiTheme="majorHAnsi"/>
              </w:rPr>
            </w:pPr>
          </w:p>
          <w:p w14:paraId="375183D8" w14:textId="77777777" w:rsidR="009D3033" w:rsidRDefault="009D3033" w:rsidP="009D3033">
            <w:pPr>
              <w:jc w:val="both"/>
              <w:rPr>
                <w:rFonts w:asciiTheme="majorHAnsi" w:hAnsiTheme="majorHAnsi"/>
              </w:rPr>
            </w:pPr>
          </w:p>
          <w:p w14:paraId="0C1C6966" w14:textId="77777777" w:rsidR="009D3033" w:rsidRDefault="009D3033" w:rsidP="009D3033">
            <w:pPr>
              <w:jc w:val="both"/>
              <w:rPr>
                <w:rFonts w:asciiTheme="majorHAnsi" w:hAnsiTheme="majorHAnsi"/>
              </w:rPr>
            </w:pPr>
          </w:p>
          <w:p w14:paraId="6EDA8C53" w14:textId="77777777" w:rsidR="009D3033" w:rsidRDefault="009D3033" w:rsidP="009D3033">
            <w:pPr>
              <w:jc w:val="both"/>
              <w:rPr>
                <w:rFonts w:asciiTheme="majorHAnsi" w:hAnsiTheme="majorHAnsi"/>
              </w:rPr>
            </w:pPr>
          </w:p>
          <w:p w14:paraId="1031394A" w14:textId="77777777" w:rsidR="009D3033" w:rsidRDefault="009D3033" w:rsidP="009D3033">
            <w:pPr>
              <w:jc w:val="both"/>
              <w:rPr>
                <w:rFonts w:asciiTheme="majorHAnsi" w:hAnsiTheme="majorHAnsi"/>
              </w:rPr>
            </w:pPr>
          </w:p>
          <w:p w14:paraId="116147FB" w14:textId="77777777" w:rsidR="009D3033" w:rsidRDefault="009D3033" w:rsidP="009D3033">
            <w:pPr>
              <w:jc w:val="both"/>
              <w:rPr>
                <w:rFonts w:asciiTheme="majorHAnsi" w:hAnsiTheme="majorHAnsi"/>
              </w:rPr>
            </w:pPr>
          </w:p>
          <w:p w14:paraId="67A82B11" w14:textId="77777777" w:rsidR="009D3033" w:rsidRDefault="009D3033" w:rsidP="009D3033">
            <w:pPr>
              <w:jc w:val="both"/>
              <w:rPr>
                <w:rFonts w:asciiTheme="majorHAnsi" w:hAnsiTheme="majorHAnsi"/>
              </w:rPr>
            </w:pPr>
          </w:p>
          <w:p w14:paraId="5DF31E2D" w14:textId="77777777" w:rsidR="009D3033" w:rsidRDefault="009D3033" w:rsidP="009D3033">
            <w:pPr>
              <w:jc w:val="both"/>
              <w:rPr>
                <w:rFonts w:asciiTheme="majorHAnsi" w:hAnsiTheme="majorHAnsi"/>
              </w:rPr>
            </w:pPr>
          </w:p>
          <w:p w14:paraId="7FDB85CD" w14:textId="77777777" w:rsidR="009D3033" w:rsidRDefault="009D3033" w:rsidP="009D3033">
            <w:pPr>
              <w:jc w:val="both"/>
              <w:rPr>
                <w:rFonts w:asciiTheme="majorHAnsi" w:hAnsiTheme="majorHAnsi"/>
              </w:rPr>
            </w:pPr>
          </w:p>
          <w:p w14:paraId="24F3BA0B" w14:textId="77777777" w:rsidR="009D3033" w:rsidRDefault="009D3033" w:rsidP="009D3033">
            <w:pPr>
              <w:jc w:val="both"/>
              <w:rPr>
                <w:rFonts w:asciiTheme="majorHAnsi" w:hAnsiTheme="majorHAnsi"/>
              </w:rPr>
            </w:pPr>
          </w:p>
          <w:p w14:paraId="4F9B34AE" w14:textId="77777777" w:rsidR="009D3033" w:rsidRDefault="009D3033" w:rsidP="009D3033">
            <w:pPr>
              <w:jc w:val="both"/>
              <w:rPr>
                <w:rFonts w:asciiTheme="majorHAnsi" w:hAnsiTheme="majorHAnsi"/>
              </w:rPr>
            </w:pPr>
          </w:p>
          <w:p w14:paraId="38DC0036" w14:textId="77777777" w:rsidR="009D3033" w:rsidRDefault="009D3033" w:rsidP="009D3033">
            <w:pPr>
              <w:jc w:val="both"/>
              <w:rPr>
                <w:rFonts w:asciiTheme="majorHAnsi" w:hAnsiTheme="majorHAnsi"/>
              </w:rPr>
            </w:pPr>
          </w:p>
          <w:p w14:paraId="1BC66380" w14:textId="77777777" w:rsidR="009D3033" w:rsidRDefault="009D3033" w:rsidP="009D3033">
            <w:pPr>
              <w:jc w:val="both"/>
              <w:rPr>
                <w:rFonts w:asciiTheme="majorHAnsi" w:hAnsiTheme="majorHAnsi"/>
              </w:rPr>
            </w:pPr>
          </w:p>
          <w:p w14:paraId="04E47E04" w14:textId="77777777" w:rsidR="009D3033" w:rsidRDefault="009D3033" w:rsidP="009D3033">
            <w:pPr>
              <w:jc w:val="both"/>
              <w:rPr>
                <w:rFonts w:asciiTheme="majorHAnsi" w:hAnsiTheme="majorHAnsi"/>
              </w:rPr>
            </w:pPr>
          </w:p>
          <w:p w14:paraId="4E5BB452" w14:textId="77777777" w:rsidR="009D3033" w:rsidRDefault="009D3033" w:rsidP="009D3033">
            <w:pPr>
              <w:jc w:val="both"/>
              <w:rPr>
                <w:rFonts w:asciiTheme="majorHAnsi" w:hAnsiTheme="majorHAnsi"/>
              </w:rPr>
            </w:pPr>
          </w:p>
          <w:p w14:paraId="5D5BFE69" w14:textId="68D1EF95" w:rsidR="009D3033" w:rsidRPr="009D3033" w:rsidRDefault="009D3033" w:rsidP="009D303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a podpis:</w:t>
            </w:r>
          </w:p>
        </w:tc>
      </w:tr>
    </w:tbl>
    <w:p w14:paraId="278A7FFA" w14:textId="77777777" w:rsidR="009A51EA" w:rsidRDefault="009A51EA" w:rsidP="0055227F">
      <w:pPr>
        <w:jc w:val="both"/>
      </w:pPr>
    </w:p>
    <w:sectPr w:rsidR="009A51EA" w:rsidSect="009113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9DCF" w14:textId="77777777" w:rsidR="00C70E7B" w:rsidRDefault="00C70E7B" w:rsidP="00CF03C0">
      <w:pPr>
        <w:spacing w:after="0" w:line="240" w:lineRule="auto"/>
      </w:pPr>
      <w:r>
        <w:separator/>
      </w:r>
    </w:p>
  </w:endnote>
  <w:endnote w:type="continuationSeparator" w:id="0">
    <w:p w14:paraId="2144A5AA" w14:textId="77777777" w:rsidR="00C70E7B" w:rsidRDefault="00C70E7B" w:rsidP="00CF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0576988"/>
      <w:docPartObj>
        <w:docPartGallery w:val="Page Numbers (Bottom of Page)"/>
        <w:docPartUnique/>
      </w:docPartObj>
    </w:sdtPr>
    <w:sdtEndPr/>
    <w:sdtContent>
      <w:p w14:paraId="3CD3340E" w14:textId="22719765" w:rsidR="001168DB" w:rsidRDefault="001168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4256B" w14:textId="77777777" w:rsidR="001168DB" w:rsidRDefault="001168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D1E3" w14:textId="77777777" w:rsidR="00C70E7B" w:rsidRDefault="00C70E7B" w:rsidP="00CF03C0">
      <w:pPr>
        <w:spacing w:after="0" w:line="240" w:lineRule="auto"/>
      </w:pPr>
      <w:r>
        <w:separator/>
      </w:r>
    </w:p>
  </w:footnote>
  <w:footnote w:type="continuationSeparator" w:id="0">
    <w:p w14:paraId="74728133" w14:textId="77777777" w:rsidR="00C70E7B" w:rsidRDefault="00C70E7B" w:rsidP="00CF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2B4"/>
    <w:multiLevelType w:val="hybridMultilevel"/>
    <w:tmpl w:val="2D101FE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3819"/>
    <w:multiLevelType w:val="hybridMultilevel"/>
    <w:tmpl w:val="DAF6C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3513C"/>
    <w:multiLevelType w:val="hybridMultilevel"/>
    <w:tmpl w:val="93FA52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2C1D"/>
    <w:multiLevelType w:val="hybridMultilevel"/>
    <w:tmpl w:val="B72458E2"/>
    <w:lvl w:ilvl="0" w:tplc="3270720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C11B8"/>
    <w:multiLevelType w:val="hybridMultilevel"/>
    <w:tmpl w:val="0FBE4B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2385B"/>
    <w:multiLevelType w:val="hybridMultilevel"/>
    <w:tmpl w:val="4E7A16A8"/>
    <w:lvl w:ilvl="0" w:tplc="AB58CE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D0289"/>
    <w:multiLevelType w:val="hybridMultilevel"/>
    <w:tmpl w:val="C576E55A"/>
    <w:lvl w:ilvl="0" w:tplc="E6B2EE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07E48"/>
    <w:multiLevelType w:val="hybridMultilevel"/>
    <w:tmpl w:val="D7488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452AA"/>
    <w:multiLevelType w:val="hybridMultilevel"/>
    <w:tmpl w:val="02F0F002"/>
    <w:lvl w:ilvl="0" w:tplc="8494A96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012D2"/>
    <w:multiLevelType w:val="multilevel"/>
    <w:tmpl w:val="721E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97EA3"/>
    <w:multiLevelType w:val="hybridMultilevel"/>
    <w:tmpl w:val="AE7EC6A4"/>
    <w:lvl w:ilvl="0" w:tplc="E6B2EE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94B7E"/>
    <w:multiLevelType w:val="hybridMultilevel"/>
    <w:tmpl w:val="BD90D73C"/>
    <w:lvl w:ilvl="0" w:tplc="15908C9C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474AB"/>
    <w:multiLevelType w:val="hybridMultilevel"/>
    <w:tmpl w:val="93F6AA58"/>
    <w:lvl w:ilvl="0" w:tplc="775A3E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038E8"/>
    <w:multiLevelType w:val="hybridMultilevel"/>
    <w:tmpl w:val="5E58C08A"/>
    <w:lvl w:ilvl="0" w:tplc="0204CE06">
      <w:start w:val="1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8459D"/>
    <w:multiLevelType w:val="hybridMultilevel"/>
    <w:tmpl w:val="65C80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0DEA"/>
    <w:multiLevelType w:val="hybridMultilevel"/>
    <w:tmpl w:val="679E87F4"/>
    <w:lvl w:ilvl="0" w:tplc="E6B2EE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B079E"/>
    <w:multiLevelType w:val="hybridMultilevel"/>
    <w:tmpl w:val="E7543EF8"/>
    <w:lvl w:ilvl="0" w:tplc="9C223B8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5216E"/>
    <w:multiLevelType w:val="hybridMultilevel"/>
    <w:tmpl w:val="18E0D190"/>
    <w:lvl w:ilvl="0" w:tplc="E6B2EE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A4F42"/>
    <w:multiLevelType w:val="hybridMultilevel"/>
    <w:tmpl w:val="0D805E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C700E"/>
    <w:multiLevelType w:val="hybridMultilevel"/>
    <w:tmpl w:val="2D4286A0"/>
    <w:lvl w:ilvl="0" w:tplc="94C4BE40">
      <w:start w:val="1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D0F66"/>
    <w:multiLevelType w:val="hybridMultilevel"/>
    <w:tmpl w:val="FE06CD92"/>
    <w:lvl w:ilvl="0" w:tplc="E6B2EE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E6B2EE6A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25ACA"/>
    <w:multiLevelType w:val="hybridMultilevel"/>
    <w:tmpl w:val="8A7C1C88"/>
    <w:lvl w:ilvl="0" w:tplc="A0DA3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1158C0"/>
    <w:multiLevelType w:val="hybridMultilevel"/>
    <w:tmpl w:val="D86ADD4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7764922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14730"/>
    <w:multiLevelType w:val="hybridMultilevel"/>
    <w:tmpl w:val="DAF6C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D3C22"/>
    <w:multiLevelType w:val="hybridMultilevel"/>
    <w:tmpl w:val="DAF6C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A2D8E"/>
    <w:multiLevelType w:val="hybridMultilevel"/>
    <w:tmpl w:val="090EAA76"/>
    <w:lvl w:ilvl="0" w:tplc="FAF2D5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54488"/>
    <w:multiLevelType w:val="hybridMultilevel"/>
    <w:tmpl w:val="65C80F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703B1"/>
    <w:multiLevelType w:val="hybridMultilevel"/>
    <w:tmpl w:val="DAF6C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77145"/>
    <w:multiLevelType w:val="hybridMultilevel"/>
    <w:tmpl w:val="30D47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C79F3"/>
    <w:multiLevelType w:val="hybridMultilevel"/>
    <w:tmpl w:val="B2AAD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85022">
    <w:abstractNumId w:val="23"/>
  </w:num>
  <w:num w:numId="2" w16cid:durableId="546570391">
    <w:abstractNumId w:val="5"/>
  </w:num>
  <w:num w:numId="3" w16cid:durableId="132868521">
    <w:abstractNumId w:val="3"/>
  </w:num>
  <w:num w:numId="4" w16cid:durableId="627787141">
    <w:abstractNumId w:val="13"/>
  </w:num>
  <w:num w:numId="5" w16cid:durableId="1043673182">
    <w:abstractNumId w:val="2"/>
  </w:num>
  <w:num w:numId="6" w16cid:durableId="784543727">
    <w:abstractNumId w:val="22"/>
  </w:num>
  <w:num w:numId="7" w16cid:durableId="1436096936">
    <w:abstractNumId w:val="27"/>
  </w:num>
  <w:num w:numId="8" w16cid:durableId="761801863">
    <w:abstractNumId w:val="28"/>
  </w:num>
  <w:num w:numId="9" w16cid:durableId="682702702">
    <w:abstractNumId w:val="16"/>
  </w:num>
  <w:num w:numId="10" w16cid:durableId="1243905886">
    <w:abstractNumId w:val="7"/>
  </w:num>
  <w:num w:numId="11" w16cid:durableId="1706952229">
    <w:abstractNumId w:val="18"/>
  </w:num>
  <w:num w:numId="12" w16cid:durableId="1265070404">
    <w:abstractNumId w:val="29"/>
  </w:num>
  <w:num w:numId="13" w16cid:durableId="470682554">
    <w:abstractNumId w:val="24"/>
  </w:num>
  <w:num w:numId="14" w16cid:durableId="1521040650">
    <w:abstractNumId w:val="17"/>
  </w:num>
  <w:num w:numId="15" w16cid:durableId="1402287278">
    <w:abstractNumId w:val="20"/>
  </w:num>
  <w:num w:numId="16" w16cid:durableId="402485146">
    <w:abstractNumId w:val="21"/>
  </w:num>
  <w:num w:numId="17" w16cid:durableId="1902014366">
    <w:abstractNumId w:val="4"/>
  </w:num>
  <w:num w:numId="18" w16cid:durableId="43720764">
    <w:abstractNumId w:val="0"/>
  </w:num>
  <w:num w:numId="19" w16cid:durableId="953948165">
    <w:abstractNumId w:val="12"/>
  </w:num>
  <w:num w:numId="20" w16cid:durableId="664822198">
    <w:abstractNumId w:val="10"/>
  </w:num>
  <w:num w:numId="21" w16cid:durableId="1585413761">
    <w:abstractNumId w:val="15"/>
  </w:num>
  <w:num w:numId="22" w16cid:durableId="2131514843">
    <w:abstractNumId w:val="14"/>
  </w:num>
  <w:num w:numId="23" w16cid:durableId="801384675">
    <w:abstractNumId w:val="8"/>
  </w:num>
  <w:num w:numId="24" w16cid:durableId="955792216">
    <w:abstractNumId w:val="26"/>
  </w:num>
  <w:num w:numId="25" w16cid:durableId="1352730198">
    <w:abstractNumId w:val="6"/>
  </w:num>
  <w:num w:numId="26" w16cid:durableId="1536885968">
    <w:abstractNumId w:val="19"/>
  </w:num>
  <w:num w:numId="27" w16cid:durableId="1245724351">
    <w:abstractNumId w:val="1"/>
  </w:num>
  <w:num w:numId="28" w16cid:durableId="2024504524">
    <w:abstractNumId w:val="9"/>
  </w:num>
  <w:num w:numId="29" w16cid:durableId="1049647926">
    <w:abstractNumId w:val="25"/>
  </w:num>
  <w:num w:numId="30" w16cid:durableId="401678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87"/>
    <w:rsid w:val="00000335"/>
    <w:rsid w:val="00000F70"/>
    <w:rsid w:val="00002AA6"/>
    <w:rsid w:val="00002CEC"/>
    <w:rsid w:val="00003610"/>
    <w:rsid w:val="0000617C"/>
    <w:rsid w:val="000065D3"/>
    <w:rsid w:val="00006752"/>
    <w:rsid w:val="000079E1"/>
    <w:rsid w:val="0001011B"/>
    <w:rsid w:val="0001042E"/>
    <w:rsid w:val="00012055"/>
    <w:rsid w:val="000122F6"/>
    <w:rsid w:val="00012B1F"/>
    <w:rsid w:val="000159F4"/>
    <w:rsid w:val="00016C10"/>
    <w:rsid w:val="00017022"/>
    <w:rsid w:val="000209E2"/>
    <w:rsid w:val="00021358"/>
    <w:rsid w:val="00021AA7"/>
    <w:rsid w:val="000231BF"/>
    <w:rsid w:val="0002477B"/>
    <w:rsid w:val="000307A0"/>
    <w:rsid w:val="00035BC9"/>
    <w:rsid w:val="00036BF7"/>
    <w:rsid w:val="00040A07"/>
    <w:rsid w:val="000428E5"/>
    <w:rsid w:val="00044B03"/>
    <w:rsid w:val="00045AA0"/>
    <w:rsid w:val="000460A1"/>
    <w:rsid w:val="00047C05"/>
    <w:rsid w:val="000502DB"/>
    <w:rsid w:val="000514D2"/>
    <w:rsid w:val="00053E32"/>
    <w:rsid w:val="000554DC"/>
    <w:rsid w:val="00056651"/>
    <w:rsid w:val="00061E3B"/>
    <w:rsid w:val="0006448C"/>
    <w:rsid w:val="00064E6E"/>
    <w:rsid w:val="000665F0"/>
    <w:rsid w:val="000669B8"/>
    <w:rsid w:val="00067164"/>
    <w:rsid w:val="00070000"/>
    <w:rsid w:val="0007026F"/>
    <w:rsid w:val="000702C6"/>
    <w:rsid w:val="000729E5"/>
    <w:rsid w:val="00073DBE"/>
    <w:rsid w:val="00074083"/>
    <w:rsid w:val="000747BD"/>
    <w:rsid w:val="00074C5D"/>
    <w:rsid w:val="000755EC"/>
    <w:rsid w:val="00080CAD"/>
    <w:rsid w:val="000846F0"/>
    <w:rsid w:val="00084B43"/>
    <w:rsid w:val="0008657A"/>
    <w:rsid w:val="000868D1"/>
    <w:rsid w:val="00087AF1"/>
    <w:rsid w:val="00090B40"/>
    <w:rsid w:val="00091B0C"/>
    <w:rsid w:val="000939C4"/>
    <w:rsid w:val="00094469"/>
    <w:rsid w:val="00094A16"/>
    <w:rsid w:val="000969E0"/>
    <w:rsid w:val="00097C5C"/>
    <w:rsid w:val="000A06FC"/>
    <w:rsid w:val="000A1A56"/>
    <w:rsid w:val="000A261A"/>
    <w:rsid w:val="000A2E74"/>
    <w:rsid w:val="000A446D"/>
    <w:rsid w:val="000A53AE"/>
    <w:rsid w:val="000A5AF0"/>
    <w:rsid w:val="000A7E88"/>
    <w:rsid w:val="000B020D"/>
    <w:rsid w:val="000B0B8F"/>
    <w:rsid w:val="000B149E"/>
    <w:rsid w:val="000B1886"/>
    <w:rsid w:val="000B3509"/>
    <w:rsid w:val="000B59AB"/>
    <w:rsid w:val="000C18FD"/>
    <w:rsid w:val="000C5263"/>
    <w:rsid w:val="000C7407"/>
    <w:rsid w:val="000D2B97"/>
    <w:rsid w:val="000D35FD"/>
    <w:rsid w:val="000D6593"/>
    <w:rsid w:val="000D68E6"/>
    <w:rsid w:val="000E2007"/>
    <w:rsid w:val="000E2095"/>
    <w:rsid w:val="000E3B43"/>
    <w:rsid w:val="000E419F"/>
    <w:rsid w:val="000E4E22"/>
    <w:rsid w:val="000E574D"/>
    <w:rsid w:val="000E71E4"/>
    <w:rsid w:val="000F01C5"/>
    <w:rsid w:val="000F1398"/>
    <w:rsid w:val="000F210E"/>
    <w:rsid w:val="000F3E5B"/>
    <w:rsid w:val="000F4DA5"/>
    <w:rsid w:val="000F5330"/>
    <w:rsid w:val="000F6461"/>
    <w:rsid w:val="000F7B2F"/>
    <w:rsid w:val="00100CDC"/>
    <w:rsid w:val="00101488"/>
    <w:rsid w:val="00101A83"/>
    <w:rsid w:val="001032C6"/>
    <w:rsid w:val="00103313"/>
    <w:rsid w:val="00103DA8"/>
    <w:rsid w:val="001051CC"/>
    <w:rsid w:val="0010587B"/>
    <w:rsid w:val="00107AF4"/>
    <w:rsid w:val="00110497"/>
    <w:rsid w:val="00110ED7"/>
    <w:rsid w:val="00114615"/>
    <w:rsid w:val="001168DB"/>
    <w:rsid w:val="001170EB"/>
    <w:rsid w:val="00117840"/>
    <w:rsid w:val="001211C8"/>
    <w:rsid w:val="001227CE"/>
    <w:rsid w:val="00124B06"/>
    <w:rsid w:val="0012544D"/>
    <w:rsid w:val="0012563D"/>
    <w:rsid w:val="00126E49"/>
    <w:rsid w:val="0013112F"/>
    <w:rsid w:val="00131E3F"/>
    <w:rsid w:val="001334AC"/>
    <w:rsid w:val="00135233"/>
    <w:rsid w:val="00135AD2"/>
    <w:rsid w:val="0013783D"/>
    <w:rsid w:val="001409E2"/>
    <w:rsid w:val="00140EC4"/>
    <w:rsid w:val="0014232E"/>
    <w:rsid w:val="001458C6"/>
    <w:rsid w:val="00146798"/>
    <w:rsid w:val="00146A5A"/>
    <w:rsid w:val="00146F53"/>
    <w:rsid w:val="00147BB8"/>
    <w:rsid w:val="001500B1"/>
    <w:rsid w:val="00150F78"/>
    <w:rsid w:val="00151DE3"/>
    <w:rsid w:val="001527DD"/>
    <w:rsid w:val="00154202"/>
    <w:rsid w:val="00154FEC"/>
    <w:rsid w:val="00155539"/>
    <w:rsid w:val="00155639"/>
    <w:rsid w:val="001564A9"/>
    <w:rsid w:val="00157AAC"/>
    <w:rsid w:val="001602F2"/>
    <w:rsid w:val="001642D2"/>
    <w:rsid w:val="00164B5D"/>
    <w:rsid w:val="00166310"/>
    <w:rsid w:val="00170416"/>
    <w:rsid w:val="001737AF"/>
    <w:rsid w:val="001740FE"/>
    <w:rsid w:val="001747EB"/>
    <w:rsid w:val="001779FB"/>
    <w:rsid w:val="0018020D"/>
    <w:rsid w:val="00181837"/>
    <w:rsid w:val="00181F50"/>
    <w:rsid w:val="0018323C"/>
    <w:rsid w:val="001844C9"/>
    <w:rsid w:val="0018575C"/>
    <w:rsid w:val="001864CA"/>
    <w:rsid w:val="001915B3"/>
    <w:rsid w:val="00191661"/>
    <w:rsid w:val="00194143"/>
    <w:rsid w:val="001947AB"/>
    <w:rsid w:val="00195FAB"/>
    <w:rsid w:val="001A0C5A"/>
    <w:rsid w:val="001A1492"/>
    <w:rsid w:val="001A1B06"/>
    <w:rsid w:val="001A2F22"/>
    <w:rsid w:val="001A3079"/>
    <w:rsid w:val="001A33F5"/>
    <w:rsid w:val="001A3FAC"/>
    <w:rsid w:val="001A55AC"/>
    <w:rsid w:val="001A67C7"/>
    <w:rsid w:val="001A7C5A"/>
    <w:rsid w:val="001B1F5F"/>
    <w:rsid w:val="001B26A0"/>
    <w:rsid w:val="001B3C43"/>
    <w:rsid w:val="001B4A4B"/>
    <w:rsid w:val="001B6431"/>
    <w:rsid w:val="001B7DA6"/>
    <w:rsid w:val="001C00B8"/>
    <w:rsid w:val="001C2546"/>
    <w:rsid w:val="001C5BCF"/>
    <w:rsid w:val="001D072F"/>
    <w:rsid w:val="001D209F"/>
    <w:rsid w:val="001D2C29"/>
    <w:rsid w:val="001D7623"/>
    <w:rsid w:val="001D7FF8"/>
    <w:rsid w:val="001E1673"/>
    <w:rsid w:val="001E1D14"/>
    <w:rsid w:val="001E3279"/>
    <w:rsid w:val="001E4C4D"/>
    <w:rsid w:val="001E55BA"/>
    <w:rsid w:val="001E580B"/>
    <w:rsid w:val="001F2B07"/>
    <w:rsid w:val="001F3321"/>
    <w:rsid w:val="001F43F8"/>
    <w:rsid w:val="001F5093"/>
    <w:rsid w:val="001F7630"/>
    <w:rsid w:val="00200EC4"/>
    <w:rsid w:val="00202606"/>
    <w:rsid w:val="00202C4D"/>
    <w:rsid w:val="00203D3A"/>
    <w:rsid w:val="002045A3"/>
    <w:rsid w:val="00204E14"/>
    <w:rsid w:val="002109FE"/>
    <w:rsid w:val="00212F7B"/>
    <w:rsid w:val="002133A6"/>
    <w:rsid w:val="00214BCB"/>
    <w:rsid w:val="0021519C"/>
    <w:rsid w:val="00215DC5"/>
    <w:rsid w:val="0021781E"/>
    <w:rsid w:val="00217AFE"/>
    <w:rsid w:val="00217F56"/>
    <w:rsid w:val="002200E0"/>
    <w:rsid w:val="00221E8C"/>
    <w:rsid w:val="002229F4"/>
    <w:rsid w:val="0022317B"/>
    <w:rsid w:val="00223C63"/>
    <w:rsid w:val="002247EC"/>
    <w:rsid w:val="00225276"/>
    <w:rsid w:val="00225748"/>
    <w:rsid w:val="002259FD"/>
    <w:rsid w:val="00225AC7"/>
    <w:rsid w:val="0022715A"/>
    <w:rsid w:val="00231ECA"/>
    <w:rsid w:val="00233798"/>
    <w:rsid w:val="00235E80"/>
    <w:rsid w:val="0023789F"/>
    <w:rsid w:val="00240C9E"/>
    <w:rsid w:val="00240CB2"/>
    <w:rsid w:val="00241B76"/>
    <w:rsid w:val="0024231A"/>
    <w:rsid w:val="002427E3"/>
    <w:rsid w:val="00243328"/>
    <w:rsid w:val="0024369D"/>
    <w:rsid w:val="00247525"/>
    <w:rsid w:val="00247647"/>
    <w:rsid w:val="00247801"/>
    <w:rsid w:val="00250134"/>
    <w:rsid w:val="00253536"/>
    <w:rsid w:val="00253B7E"/>
    <w:rsid w:val="00253FAB"/>
    <w:rsid w:val="00254B4D"/>
    <w:rsid w:val="00255B88"/>
    <w:rsid w:val="00256F1A"/>
    <w:rsid w:val="00257141"/>
    <w:rsid w:val="002628F9"/>
    <w:rsid w:val="00263F22"/>
    <w:rsid w:val="00265577"/>
    <w:rsid w:val="00265FBF"/>
    <w:rsid w:val="00266685"/>
    <w:rsid w:val="002669D7"/>
    <w:rsid w:val="002727D4"/>
    <w:rsid w:val="00273B18"/>
    <w:rsid w:val="0027486C"/>
    <w:rsid w:val="002764B4"/>
    <w:rsid w:val="00281913"/>
    <w:rsid w:val="00282E9A"/>
    <w:rsid w:val="002920C6"/>
    <w:rsid w:val="00292900"/>
    <w:rsid w:val="002941BA"/>
    <w:rsid w:val="00294377"/>
    <w:rsid w:val="002945F8"/>
    <w:rsid w:val="00295AF9"/>
    <w:rsid w:val="00295C2F"/>
    <w:rsid w:val="00295EFA"/>
    <w:rsid w:val="00296250"/>
    <w:rsid w:val="0029797E"/>
    <w:rsid w:val="002A0691"/>
    <w:rsid w:val="002A06AC"/>
    <w:rsid w:val="002A192A"/>
    <w:rsid w:val="002A2948"/>
    <w:rsid w:val="002A2A8A"/>
    <w:rsid w:val="002A3C4F"/>
    <w:rsid w:val="002A425A"/>
    <w:rsid w:val="002A5829"/>
    <w:rsid w:val="002A670B"/>
    <w:rsid w:val="002A6B14"/>
    <w:rsid w:val="002B201E"/>
    <w:rsid w:val="002B20AF"/>
    <w:rsid w:val="002B770C"/>
    <w:rsid w:val="002C36BB"/>
    <w:rsid w:val="002C3FE7"/>
    <w:rsid w:val="002C4BD7"/>
    <w:rsid w:val="002D2353"/>
    <w:rsid w:val="002E21F3"/>
    <w:rsid w:val="002E35BC"/>
    <w:rsid w:val="002E36ED"/>
    <w:rsid w:val="002E37E3"/>
    <w:rsid w:val="002E5298"/>
    <w:rsid w:val="002E67AE"/>
    <w:rsid w:val="002E7798"/>
    <w:rsid w:val="002F24A0"/>
    <w:rsid w:val="002F2536"/>
    <w:rsid w:val="002F31EE"/>
    <w:rsid w:val="002F38ED"/>
    <w:rsid w:val="002F3C9A"/>
    <w:rsid w:val="002F4284"/>
    <w:rsid w:val="002F7A11"/>
    <w:rsid w:val="003005A7"/>
    <w:rsid w:val="00301FB0"/>
    <w:rsid w:val="00302401"/>
    <w:rsid w:val="00304C70"/>
    <w:rsid w:val="00311B3D"/>
    <w:rsid w:val="00311C92"/>
    <w:rsid w:val="0031254D"/>
    <w:rsid w:val="00312657"/>
    <w:rsid w:val="0031407B"/>
    <w:rsid w:val="0031450A"/>
    <w:rsid w:val="00315E33"/>
    <w:rsid w:val="00320D45"/>
    <w:rsid w:val="00321845"/>
    <w:rsid w:val="00325980"/>
    <w:rsid w:val="0033138D"/>
    <w:rsid w:val="003327F0"/>
    <w:rsid w:val="00334586"/>
    <w:rsid w:val="00335B55"/>
    <w:rsid w:val="003365BD"/>
    <w:rsid w:val="0033706D"/>
    <w:rsid w:val="00337E55"/>
    <w:rsid w:val="00337E6E"/>
    <w:rsid w:val="003425D1"/>
    <w:rsid w:val="00343EED"/>
    <w:rsid w:val="003447AB"/>
    <w:rsid w:val="00344BFA"/>
    <w:rsid w:val="0034566B"/>
    <w:rsid w:val="00350E52"/>
    <w:rsid w:val="00351045"/>
    <w:rsid w:val="00351A62"/>
    <w:rsid w:val="003549C6"/>
    <w:rsid w:val="00355472"/>
    <w:rsid w:val="003556FC"/>
    <w:rsid w:val="003570B2"/>
    <w:rsid w:val="00357504"/>
    <w:rsid w:val="0036051A"/>
    <w:rsid w:val="00362758"/>
    <w:rsid w:val="00362A1D"/>
    <w:rsid w:val="003638A9"/>
    <w:rsid w:val="00365D1C"/>
    <w:rsid w:val="00365F64"/>
    <w:rsid w:val="0036659B"/>
    <w:rsid w:val="003666C3"/>
    <w:rsid w:val="003677B9"/>
    <w:rsid w:val="003726CB"/>
    <w:rsid w:val="00373E4E"/>
    <w:rsid w:val="003765B9"/>
    <w:rsid w:val="00377A15"/>
    <w:rsid w:val="003801DF"/>
    <w:rsid w:val="00383428"/>
    <w:rsid w:val="00386943"/>
    <w:rsid w:val="00390084"/>
    <w:rsid w:val="00390598"/>
    <w:rsid w:val="0039144F"/>
    <w:rsid w:val="00393312"/>
    <w:rsid w:val="0039509B"/>
    <w:rsid w:val="003961EC"/>
    <w:rsid w:val="003A449B"/>
    <w:rsid w:val="003A47F1"/>
    <w:rsid w:val="003A51BB"/>
    <w:rsid w:val="003A5C0D"/>
    <w:rsid w:val="003A5D4A"/>
    <w:rsid w:val="003A76C7"/>
    <w:rsid w:val="003B05BA"/>
    <w:rsid w:val="003B13B3"/>
    <w:rsid w:val="003B25C3"/>
    <w:rsid w:val="003B2EAC"/>
    <w:rsid w:val="003B3465"/>
    <w:rsid w:val="003B35D0"/>
    <w:rsid w:val="003B4718"/>
    <w:rsid w:val="003C3B2E"/>
    <w:rsid w:val="003C5D4E"/>
    <w:rsid w:val="003C603A"/>
    <w:rsid w:val="003D125F"/>
    <w:rsid w:val="003D1D60"/>
    <w:rsid w:val="003D2C14"/>
    <w:rsid w:val="003D42D3"/>
    <w:rsid w:val="003D5BBC"/>
    <w:rsid w:val="003D65AD"/>
    <w:rsid w:val="003D7352"/>
    <w:rsid w:val="003E0EFF"/>
    <w:rsid w:val="003E1884"/>
    <w:rsid w:val="003E38B5"/>
    <w:rsid w:val="003E5AF6"/>
    <w:rsid w:val="003E6738"/>
    <w:rsid w:val="003E754E"/>
    <w:rsid w:val="003E79B0"/>
    <w:rsid w:val="003E7CF6"/>
    <w:rsid w:val="003F185F"/>
    <w:rsid w:val="003F26D2"/>
    <w:rsid w:val="003F47DF"/>
    <w:rsid w:val="003F52ED"/>
    <w:rsid w:val="003F6DEB"/>
    <w:rsid w:val="00400FEC"/>
    <w:rsid w:val="0040463B"/>
    <w:rsid w:val="00405ADB"/>
    <w:rsid w:val="00410CB0"/>
    <w:rsid w:val="00411465"/>
    <w:rsid w:val="00411963"/>
    <w:rsid w:val="00411B39"/>
    <w:rsid w:val="00412E14"/>
    <w:rsid w:val="0041337A"/>
    <w:rsid w:val="00413E7D"/>
    <w:rsid w:val="0041608D"/>
    <w:rsid w:val="00416215"/>
    <w:rsid w:val="004163D7"/>
    <w:rsid w:val="00422775"/>
    <w:rsid w:val="0042649B"/>
    <w:rsid w:val="00427A41"/>
    <w:rsid w:val="00430EDB"/>
    <w:rsid w:val="00431531"/>
    <w:rsid w:val="00431A92"/>
    <w:rsid w:val="00432161"/>
    <w:rsid w:val="00432253"/>
    <w:rsid w:val="00432AF7"/>
    <w:rsid w:val="00433D16"/>
    <w:rsid w:val="00434D11"/>
    <w:rsid w:val="00435B5E"/>
    <w:rsid w:val="004375D3"/>
    <w:rsid w:val="00437AED"/>
    <w:rsid w:val="00446B74"/>
    <w:rsid w:val="0044731C"/>
    <w:rsid w:val="004525E9"/>
    <w:rsid w:val="00455ECE"/>
    <w:rsid w:val="00455F4F"/>
    <w:rsid w:val="0045719B"/>
    <w:rsid w:val="00460F34"/>
    <w:rsid w:val="004656C6"/>
    <w:rsid w:val="00467BE4"/>
    <w:rsid w:val="004704FB"/>
    <w:rsid w:val="00474C9E"/>
    <w:rsid w:val="00474F4C"/>
    <w:rsid w:val="004772B4"/>
    <w:rsid w:val="00477A65"/>
    <w:rsid w:val="00482FCA"/>
    <w:rsid w:val="00484A91"/>
    <w:rsid w:val="00484C25"/>
    <w:rsid w:val="00491141"/>
    <w:rsid w:val="00491F67"/>
    <w:rsid w:val="00492368"/>
    <w:rsid w:val="00494B91"/>
    <w:rsid w:val="0049556F"/>
    <w:rsid w:val="004975DA"/>
    <w:rsid w:val="004A0970"/>
    <w:rsid w:val="004A169F"/>
    <w:rsid w:val="004A1EED"/>
    <w:rsid w:val="004A2507"/>
    <w:rsid w:val="004A4AF7"/>
    <w:rsid w:val="004A6796"/>
    <w:rsid w:val="004B52F9"/>
    <w:rsid w:val="004B7B5B"/>
    <w:rsid w:val="004B7C15"/>
    <w:rsid w:val="004C2741"/>
    <w:rsid w:val="004C32C7"/>
    <w:rsid w:val="004C3F9E"/>
    <w:rsid w:val="004D1506"/>
    <w:rsid w:val="004D3FAD"/>
    <w:rsid w:val="004D630B"/>
    <w:rsid w:val="004D7F1B"/>
    <w:rsid w:val="004E0309"/>
    <w:rsid w:val="004E165D"/>
    <w:rsid w:val="004E17B4"/>
    <w:rsid w:val="004E17F7"/>
    <w:rsid w:val="004E187D"/>
    <w:rsid w:val="004E1E07"/>
    <w:rsid w:val="004E2B32"/>
    <w:rsid w:val="004E2E69"/>
    <w:rsid w:val="004E6F8F"/>
    <w:rsid w:val="004F0AEA"/>
    <w:rsid w:val="004F18F6"/>
    <w:rsid w:val="004F2FF8"/>
    <w:rsid w:val="004F4A18"/>
    <w:rsid w:val="004F6AED"/>
    <w:rsid w:val="004F7DCD"/>
    <w:rsid w:val="004F7FF8"/>
    <w:rsid w:val="00501844"/>
    <w:rsid w:val="00502125"/>
    <w:rsid w:val="00502E38"/>
    <w:rsid w:val="00503864"/>
    <w:rsid w:val="005109FF"/>
    <w:rsid w:val="0051235A"/>
    <w:rsid w:val="00512A6B"/>
    <w:rsid w:val="00512B66"/>
    <w:rsid w:val="00517533"/>
    <w:rsid w:val="00521D51"/>
    <w:rsid w:val="005226CF"/>
    <w:rsid w:val="0052373C"/>
    <w:rsid w:val="00524E87"/>
    <w:rsid w:val="00526131"/>
    <w:rsid w:val="00526DF3"/>
    <w:rsid w:val="005277F3"/>
    <w:rsid w:val="00527E36"/>
    <w:rsid w:val="005353DF"/>
    <w:rsid w:val="00535620"/>
    <w:rsid w:val="005357C4"/>
    <w:rsid w:val="00536585"/>
    <w:rsid w:val="00540759"/>
    <w:rsid w:val="00540946"/>
    <w:rsid w:val="00541E4F"/>
    <w:rsid w:val="005445D2"/>
    <w:rsid w:val="005449EA"/>
    <w:rsid w:val="00544A44"/>
    <w:rsid w:val="005453B6"/>
    <w:rsid w:val="005477B7"/>
    <w:rsid w:val="00550056"/>
    <w:rsid w:val="00551EF5"/>
    <w:rsid w:val="0055227F"/>
    <w:rsid w:val="00553015"/>
    <w:rsid w:val="005540B6"/>
    <w:rsid w:val="00554860"/>
    <w:rsid w:val="00555191"/>
    <w:rsid w:val="00563054"/>
    <w:rsid w:val="00563875"/>
    <w:rsid w:val="00564115"/>
    <w:rsid w:val="005645E1"/>
    <w:rsid w:val="00564F5F"/>
    <w:rsid w:val="00565C7C"/>
    <w:rsid w:val="00565DA4"/>
    <w:rsid w:val="00566643"/>
    <w:rsid w:val="00566EA4"/>
    <w:rsid w:val="005679BC"/>
    <w:rsid w:val="00573463"/>
    <w:rsid w:val="005751C5"/>
    <w:rsid w:val="005763B6"/>
    <w:rsid w:val="00576A5C"/>
    <w:rsid w:val="005800E2"/>
    <w:rsid w:val="00581482"/>
    <w:rsid w:val="00581E7F"/>
    <w:rsid w:val="005829AF"/>
    <w:rsid w:val="0058375A"/>
    <w:rsid w:val="00583E42"/>
    <w:rsid w:val="0058704C"/>
    <w:rsid w:val="005920D1"/>
    <w:rsid w:val="005937EE"/>
    <w:rsid w:val="00594E81"/>
    <w:rsid w:val="0059670B"/>
    <w:rsid w:val="00597755"/>
    <w:rsid w:val="005A1188"/>
    <w:rsid w:val="005A1C41"/>
    <w:rsid w:val="005A501B"/>
    <w:rsid w:val="005A6EDD"/>
    <w:rsid w:val="005A7BCD"/>
    <w:rsid w:val="005B1FDC"/>
    <w:rsid w:val="005B2B59"/>
    <w:rsid w:val="005B405B"/>
    <w:rsid w:val="005B4169"/>
    <w:rsid w:val="005B51CD"/>
    <w:rsid w:val="005B6F8B"/>
    <w:rsid w:val="005C0910"/>
    <w:rsid w:val="005C1C06"/>
    <w:rsid w:val="005C264F"/>
    <w:rsid w:val="005C5122"/>
    <w:rsid w:val="005C5E5A"/>
    <w:rsid w:val="005C68FD"/>
    <w:rsid w:val="005C7436"/>
    <w:rsid w:val="005D14DF"/>
    <w:rsid w:val="005D194D"/>
    <w:rsid w:val="005D317C"/>
    <w:rsid w:val="005D396B"/>
    <w:rsid w:val="005D481C"/>
    <w:rsid w:val="005D619C"/>
    <w:rsid w:val="005E2DE7"/>
    <w:rsid w:val="005E4B90"/>
    <w:rsid w:val="005E5380"/>
    <w:rsid w:val="005E69A8"/>
    <w:rsid w:val="005E7482"/>
    <w:rsid w:val="005F00E6"/>
    <w:rsid w:val="005F10C8"/>
    <w:rsid w:val="005F161D"/>
    <w:rsid w:val="005F256F"/>
    <w:rsid w:val="005F3B85"/>
    <w:rsid w:val="005F4389"/>
    <w:rsid w:val="005F5CD0"/>
    <w:rsid w:val="005F5EA7"/>
    <w:rsid w:val="005F77EE"/>
    <w:rsid w:val="00600773"/>
    <w:rsid w:val="0060093E"/>
    <w:rsid w:val="00603A41"/>
    <w:rsid w:val="00604610"/>
    <w:rsid w:val="00605529"/>
    <w:rsid w:val="00610FA6"/>
    <w:rsid w:val="006136E5"/>
    <w:rsid w:val="00623743"/>
    <w:rsid w:val="006239D0"/>
    <w:rsid w:val="0062591E"/>
    <w:rsid w:val="006261FA"/>
    <w:rsid w:val="00626CE0"/>
    <w:rsid w:val="00627B02"/>
    <w:rsid w:val="00627F36"/>
    <w:rsid w:val="0063039E"/>
    <w:rsid w:val="006313ED"/>
    <w:rsid w:val="00634938"/>
    <w:rsid w:val="006366DE"/>
    <w:rsid w:val="006371D1"/>
    <w:rsid w:val="00640207"/>
    <w:rsid w:val="00642AF1"/>
    <w:rsid w:val="00644575"/>
    <w:rsid w:val="00645379"/>
    <w:rsid w:val="00646D2A"/>
    <w:rsid w:val="0065128D"/>
    <w:rsid w:val="006540F4"/>
    <w:rsid w:val="0065445E"/>
    <w:rsid w:val="00654D24"/>
    <w:rsid w:val="006558E0"/>
    <w:rsid w:val="00657B34"/>
    <w:rsid w:val="0066197E"/>
    <w:rsid w:val="00661DD4"/>
    <w:rsid w:val="00663135"/>
    <w:rsid w:val="00663A0E"/>
    <w:rsid w:val="006713B5"/>
    <w:rsid w:val="006716C3"/>
    <w:rsid w:val="006723C8"/>
    <w:rsid w:val="00674248"/>
    <w:rsid w:val="00676A8E"/>
    <w:rsid w:val="00676BFB"/>
    <w:rsid w:val="00680698"/>
    <w:rsid w:val="00680D52"/>
    <w:rsid w:val="00682354"/>
    <w:rsid w:val="00682E1F"/>
    <w:rsid w:val="006831BA"/>
    <w:rsid w:val="006834BE"/>
    <w:rsid w:val="006841AD"/>
    <w:rsid w:val="0068425B"/>
    <w:rsid w:val="00685F4B"/>
    <w:rsid w:val="00686B4F"/>
    <w:rsid w:val="00691CCB"/>
    <w:rsid w:val="00691F3B"/>
    <w:rsid w:val="00692070"/>
    <w:rsid w:val="006923E7"/>
    <w:rsid w:val="00694164"/>
    <w:rsid w:val="00694C29"/>
    <w:rsid w:val="006952D5"/>
    <w:rsid w:val="00695CC5"/>
    <w:rsid w:val="00697C54"/>
    <w:rsid w:val="006A19A1"/>
    <w:rsid w:val="006A2DB6"/>
    <w:rsid w:val="006A51B1"/>
    <w:rsid w:val="006A573A"/>
    <w:rsid w:val="006B0585"/>
    <w:rsid w:val="006B0C88"/>
    <w:rsid w:val="006B2769"/>
    <w:rsid w:val="006B3BC0"/>
    <w:rsid w:val="006B3D96"/>
    <w:rsid w:val="006B3FB1"/>
    <w:rsid w:val="006B4226"/>
    <w:rsid w:val="006B7C11"/>
    <w:rsid w:val="006C1C86"/>
    <w:rsid w:val="006C24AE"/>
    <w:rsid w:val="006C2FA2"/>
    <w:rsid w:val="006C6216"/>
    <w:rsid w:val="006D5A8C"/>
    <w:rsid w:val="006D6736"/>
    <w:rsid w:val="006D72DA"/>
    <w:rsid w:val="006E0BF4"/>
    <w:rsid w:val="006E15E3"/>
    <w:rsid w:val="006E1B7D"/>
    <w:rsid w:val="006E31C8"/>
    <w:rsid w:val="006E3440"/>
    <w:rsid w:val="006E38FE"/>
    <w:rsid w:val="006E58AB"/>
    <w:rsid w:val="006E64D5"/>
    <w:rsid w:val="006F262F"/>
    <w:rsid w:val="006F33BA"/>
    <w:rsid w:val="006F556E"/>
    <w:rsid w:val="006F5CA1"/>
    <w:rsid w:val="00701D73"/>
    <w:rsid w:val="007053DF"/>
    <w:rsid w:val="007060B6"/>
    <w:rsid w:val="00707647"/>
    <w:rsid w:val="0070799C"/>
    <w:rsid w:val="00710803"/>
    <w:rsid w:val="00712A2F"/>
    <w:rsid w:val="00715786"/>
    <w:rsid w:val="00715AF3"/>
    <w:rsid w:val="00715C30"/>
    <w:rsid w:val="00716251"/>
    <w:rsid w:val="00717058"/>
    <w:rsid w:val="00725B9A"/>
    <w:rsid w:val="0073038D"/>
    <w:rsid w:val="007324FC"/>
    <w:rsid w:val="00734D07"/>
    <w:rsid w:val="00735988"/>
    <w:rsid w:val="007366B9"/>
    <w:rsid w:val="00737B56"/>
    <w:rsid w:val="00737C92"/>
    <w:rsid w:val="00740232"/>
    <w:rsid w:val="0074184B"/>
    <w:rsid w:val="00742789"/>
    <w:rsid w:val="0074289F"/>
    <w:rsid w:val="007459AF"/>
    <w:rsid w:val="007475F4"/>
    <w:rsid w:val="00751B6C"/>
    <w:rsid w:val="00756141"/>
    <w:rsid w:val="0075658E"/>
    <w:rsid w:val="0075747D"/>
    <w:rsid w:val="00760EB5"/>
    <w:rsid w:val="0076190A"/>
    <w:rsid w:val="00764C67"/>
    <w:rsid w:val="007663DB"/>
    <w:rsid w:val="007663E4"/>
    <w:rsid w:val="007669D6"/>
    <w:rsid w:val="0076775D"/>
    <w:rsid w:val="00773C47"/>
    <w:rsid w:val="00774ED2"/>
    <w:rsid w:val="00776A31"/>
    <w:rsid w:val="007822A7"/>
    <w:rsid w:val="00783961"/>
    <w:rsid w:val="00785B98"/>
    <w:rsid w:val="0078707D"/>
    <w:rsid w:val="0079106C"/>
    <w:rsid w:val="00791DB2"/>
    <w:rsid w:val="00794113"/>
    <w:rsid w:val="00794273"/>
    <w:rsid w:val="00797759"/>
    <w:rsid w:val="007A0224"/>
    <w:rsid w:val="007A0F58"/>
    <w:rsid w:val="007A122B"/>
    <w:rsid w:val="007A1F88"/>
    <w:rsid w:val="007A2A53"/>
    <w:rsid w:val="007A2B3C"/>
    <w:rsid w:val="007B09C8"/>
    <w:rsid w:val="007B13A1"/>
    <w:rsid w:val="007B1816"/>
    <w:rsid w:val="007B19D3"/>
    <w:rsid w:val="007B455A"/>
    <w:rsid w:val="007B4E91"/>
    <w:rsid w:val="007B54CB"/>
    <w:rsid w:val="007B67E1"/>
    <w:rsid w:val="007B73DB"/>
    <w:rsid w:val="007B78EA"/>
    <w:rsid w:val="007C2270"/>
    <w:rsid w:val="007C284F"/>
    <w:rsid w:val="007C5867"/>
    <w:rsid w:val="007C6249"/>
    <w:rsid w:val="007D046B"/>
    <w:rsid w:val="007D1434"/>
    <w:rsid w:val="007D415A"/>
    <w:rsid w:val="007D4877"/>
    <w:rsid w:val="007D689A"/>
    <w:rsid w:val="007D6932"/>
    <w:rsid w:val="007D7F0F"/>
    <w:rsid w:val="007E01A5"/>
    <w:rsid w:val="007E0438"/>
    <w:rsid w:val="007E0E83"/>
    <w:rsid w:val="007E1A50"/>
    <w:rsid w:val="007E27B6"/>
    <w:rsid w:val="007E2B82"/>
    <w:rsid w:val="007E42B7"/>
    <w:rsid w:val="007E523A"/>
    <w:rsid w:val="007E583F"/>
    <w:rsid w:val="007E70A8"/>
    <w:rsid w:val="007F00A0"/>
    <w:rsid w:val="007F2B3D"/>
    <w:rsid w:val="007F6372"/>
    <w:rsid w:val="007F7293"/>
    <w:rsid w:val="007F7EC7"/>
    <w:rsid w:val="008001A9"/>
    <w:rsid w:val="0080056B"/>
    <w:rsid w:val="00800ED6"/>
    <w:rsid w:val="00801246"/>
    <w:rsid w:val="00803861"/>
    <w:rsid w:val="008048E8"/>
    <w:rsid w:val="00804E86"/>
    <w:rsid w:val="008057CB"/>
    <w:rsid w:val="008079C6"/>
    <w:rsid w:val="008118CE"/>
    <w:rsid w:val="008124E6"/>
    <w:rsid w:val="0081291C"/>
    <w:rsid w:val="00812CB3"/>
    <w:rsid w:val="00815267"/>
    <w:rsid w:val="008161B0"/>
    <w:rsid w:val="00820A0F"/>
    <w:rsid w:val="00823D9F"/>
    <w:rsid w:val="008240D2"/>
    <w:rsid w:val="00824F52"/>
    <w:rsid w:val="0082646B"/>
    <w:rsid w:val="00830A5E"/>
    <w:rsid w:val="008317A8"/>
    <w:rsid w:val="00833B03"/>
    <w:rsid w:val="008354B5"/>
    <w:rsid w:val="00835703"/>
    <w:rsid w:val="0084166C"/>
    <w:rsid w:val="00842923"/>
    <w:rsid w:val="0084306E"/>
    <w:rsid w:val="00846C0C"/>
    <w:rsid w:val="00851D06"/>
    <w:rsid w:val="00852C20"/>
    <w:rsid w:val="00853F60"/>
    <w:rsid w:val="0085623A"/>
    <w:rsid w:val="00857A4A"/>
    <w:rsid w:val="00857AF6"/>
    <w:rsid w:val="00857D22"/>
    <w:rsid w:val="00857F79"/>
    <w:rsid w:val="00860F74"/>
    <w:rsid w:val="00861100"/>
    <w:rsid w:val="00862156"/>
    <w:rsid w:val="008628F2"/>
    <w:rsid w:val="00863AF1"/>
    <w:rsid w:val="008645F2"/>
    <w:rsid w:val="008647C1"/>
    <w:rsid w:val="00864B42"/>
    <w:rsid w:val="00864D98"/>
    <w:rsid w:val="0086557A"/>
    <w:rsid w:val="00865C87"/>
    <w:rsid w:val="00870FF3"/>
    <w:rsid w:val="00874A88"/>
    <w:rsid w:val="00875811"/>
    <w:rsid w:val="008759E6"/>
    <w:rsid w:val="00877D23"/>
    <w:rsid w:val="00880126"/>
    <w:rsid w:val="00880F4D"/>
    <w:rsid w:val="00881D65"/>
    <w:rsid w:val="00883089"/>
    <w:rsid w:val="008839B1"/>
    <w:rsid w:val="008844A2"/>
    <w:rsid w:val="008845C2"/>
    <w:rsid w:val="008863AF"/>
    <w:rsid w:val="008906DB"/>
    <w:rsid w:val="00890A9F"/>
    <w:rsid w:val="00891E08"/>
    <w:rsid w:val="008935FD"/>
    <w:rsid w:val="00893BDC"/>
    <w:rsid w:val="008951C1"/>
    <w:rsid w:val="00896E68"/>
    <w:rsid w:val="008978F1"/>
    <w:rsid w:val="00897EC2"/>
    <w:rsid w:val="008A14D3"/>
    <w:rsid w:val="008A14D7"/>
    <w:rsid w:val="008A1A4F"/>
    <w:rsid w:val="008A20A6"/>
    <w:rsid w:val="008A532F"/>
    <w:rsid w:val="008A5AFC"/>
    <w:rsid w:val="008A63B3"/>
    <w:rsid w:val="008A71EB"/>
    <w:rsid w:val="008A748D"/>
    <w:rsid w:val="008B1863"/>
    <w:rsid w:val="008B22DB"/>
    <w:rsid w:val="008B35B0"/>
    <w:rsid w:val="008B4511"/>
    <w:rsid w:val="008B4C27"/>
    <w:rsid w:val="008B5B2D"/>
    <w:rsid w:val="008C053E"/>
    <w:rsid w:val="008C11E6"/>
    <w:rsid w:val="008C16AA"/>
    <w:rsid w:val="008C227F"/>
    <w:rsid w:val="008C3360"/>
    <w:rsid w:val="008C640F"/>
    <w:rsid w:val="008D0DA3"/>
    <w:rsid w:val="008D0F53"/>
    <w:rsid w:val="008D1107"/>
    <w:rsid w:val="008D20C7"/>
    <w:rsid w:val="008D2693"/>
    <w:rsid w:val="008D30B8"/>
    <w:rsid w:val="008D57E3"/>
    <w:rsid w:val="008E14CF"/>
    <w:rsid w:val="008E2F49"/>
    <w:rsid w:val="008E5824"/>
    <w:rsid w:val="008E62F5"/>
    <w:rsid w:val="008F2AC9"/>
    <w:rsid w:val="008F2B00"/>
    <w:rsid w:val="008F522A"/>
    <w:rsid w:val="008F5FBD"/>
    <w:rsid w:val="008F67CE"/>
    <w:rsid w:val="009018C4"/>
    <w:rsid w:val="00902E00"/>
    <w:rsid w:val="00905CDE"/>
    <w:rsid w:val="00906CE8"/>
    <w:rsid w:val="00906F1C"/>
    <w:rsid w:val="00910422"/>
    <w:rsid w:val="00911387"/>
    <w:rsid w:val="00911FC4"/>
    <w:rsid w:val="00913EFB"/>
    <w:rsid w:val="009141EA"/>
    <w:rsid w:val="00914D0B"/>
    <w:rsid w:val="00917C77"/>
    <w:rsid w:val="00917F05"/>
    <w:rsid w:val="00921152"/>
    <w:rsid w:val="009211A5"/>
    <w:rsid w:val="0092234E"/>
    <w:rsid w:val="00925E49"/>
    <w:rsid w:val="00926B40"/>
    <w:rsid w:val="009272C9"/>
    <w:rsid w:val="00927319"/>
    <w:rsid w:val="0092766D"/>
    <w:rsid w:val="00927899"/>
    <w:rsid w:val="00930B81"/>
    <w:rsid w:val="00932461"/>
    <w:rsid w:val="009343EB"/>
    <w:rsid w:val="00935810"/>
    <w:rsid w:val="00935F5B"/>
    <w:rsid w:val="009373D2"/>
    <w:rsid w:val="00937DF2"/>
    <w:rsid w:val="0094293C"/>
    <w:rsid w:val="00943F2B"/>
    <w:rsid w:val="009446F9"/>
    <w:rsid w:val="0094687A"/>
    <w:rsid w:val="009478FA"/>
    <w:rsid w:val="00951F0C"/>
    <w:rsid w:val="00953566"/>
    <w:rsid w:val="00953624"/>
    <w:rsid w:val="00953DB1"/>
    <w:rsid w:val="00955C59"/>
    <w:rsid w:val="00960A76"/>
    <w:rsid w:val="0096179F"/>
    <w:rsid w:val="0096694A"/>
    <w:rsid w:val="009673E5"/>
    <w:rsid w:val="0097074F"/>
    <w:rsid w:val="009732DA"/>
    <w:rsid w:val="00973339"/>
    <w:rsid w:val="0097415F"/>
    <w:rsid w:val="009761F3"/>
    <w:rsid w:val="00977487"/>
    <w:rsid w:val="009806E7"/>
    <w:rsid w:val="00980814"/>
    <w:rsid w:val="009817C3"/>
    <w:rsid w:val="00982081"/>
    <w:rsid w:val="00983239"/>
    <w:rsid w:val="00985DD8"/>
    <w:rsid w:val="00986BFD"/>
    <w:rsid w:val="00987712"/>
    <w:rsid w:val="009902DA"/>
    <w:rsid w:val="0099142C"/>
    <w:rsid w:val="0099207E"/>
    <w:rsid w:val="00993BD8"/>
    <w:rsid w:val="00994A70"/>
    <w:rsid w:val="00994A82"/>
    <w:rsid w:val="00996254"/>
    <w:rsid w:val="00996F68"/>
    <w:rsid w:val="00997797"/>
    <w:rsid w:val="009978D2"/>
    <w:rsid w:val="009A023A"/>
    <w:rsid w:val="009A25F9"/>
    <w:rsid w:val="009A29D1"/>
    <w:rsid w:val="009A2AD0"/>
    <w:rsid w:val="009A41F4"/>
    <w:rsid w:val="009A4577"/>
    <w:rsid w:val="009A51EA"/>
    <w:rsid w:val="009B0CDD"/>
    <w:rsid w:val="009B157F"/>
    <w:rsid w:val="009B1A8A"/>
    <w:rsid w:val="009B3570"/>
    <w:rsid w:val="009B4A97"/>
    <w:rsid w:val="009B4B5C"/>
    <w:rsid w:val="009B4C55"/>
    <w:rsid w:val="009B61AA"/>
    <w:rsid w:val="009B6D3F"/>
    <w:rsid w:val="009C187B"/>
    <w:rsid w:val="009C1AD2"/>
    <w:rsid w:val="009C26A7"/>
    <w:rsid w:val="009C38FB"/>
    <w:rsid w:val="009C43FB"/>
    <w:rsid w:val="009C571D"/>
    <w:rsid w:val="009C5D39"/>
    <w:rsid w:val="009C607C"/>
    <w:rsid w:val="009C7E8F"/>
    <w:rsid w:val="009D0E6B"/>
    <w:rsid w:val="009D3033"/>
    <w:rsid w:val="009D35B5"/>
    <w:rsid w:val="009D3C4C"/>
    <w:rsid w:val="009D59BB"/>
    <w:rsid w:val="009D5B98"/>
    <w:rsid w:val="009D6F00"/>
    <w:rsid w:val="009E225A"/>
    <w:rsid w:val="009E4F59"/>
    <w:rsid w:val="009E5493"/>
    <w:rsid w:val="009F11E5"/>
    <w:rsid w:val="009F1953"/>
    <w:rsid w:val="009F4488"/>
    <w:rsid w:val="009F4490"/>
    <w:rsid w:val="009F4972"/>
    <w:rsid w:val="009F5AB8"/>
    <w:rsid w:val="009F5F8D"/>
    <w:rsid w:val="009F6ABD"/>
    <w:rsid w:val="00A0120C"/>
    <w:rsid w:val="00A0131D"/>
    <w:rsid w:val="00A02B20"/>
    <w:rsid w:val="00A039D9"/>
    <w:rsid w:val="00A1107D"/>
    <w:rsid w:val="00A11135"/>
    <w:rsid w:val="00A12B9D"/>
    <w:rsid w:val="00A20F8D"/>
    <w:rsid w:val="00A22805"/>
    <w:rsid w:val="00A22D56"/>
    <w:rsid w:val="00A24BA9"/>
    <w:rsid w:val="00A26908"/>
    <w:rsid w:val="00A27224"/>
    <w:rsid w:val="00A3235A"/>
    <w:rsid w:val="00A33904"/>
    <w:rsid w:val="00A35AF5"/>
    <w:rsid w:val="00A40E38"/>
    <w:rsid w:val="00A42BFB"/>
    <w:rsid w:val="00A4309E"/>
    <w:rsid w:val="00A45E6B"/>
    <w:rsid w:val="00A5067F"/>
    <w:rsid w:val="00A5255A"/>
    <w:rsid w:val="00A52C1B"/>
    <w:rsid w:val="00A53B41"/>
    <w:rsid w:val="00A55028"/>
    <w:rsid w:val="00A55295"/>
    <w:rsid w:val="00A6070B"/>
    <w:rsid w:val="00A60744"/>
    <w:rsid w:val="00A6391E"/>
    <w:rsid w:val="00A673DC"/>
    <w:rsid w:val="00A703EB"/>
    <w:rsid w:val="00A71DDB"/>
    <w:rsid w:val="00A72212"/>
    <w:rsid w:val="00A72233"/>
    <w:rsid w:val="00A7271B"/>
    <w:rsid w:val="00A73C48"/>
    <w:rsid w:val="00A7570B"/>
    <w:rsid w:val="00A80FC8"/>
    <w:rsid w:val="00A818A2"/>
    <w:rsid w:val="00A824B0"/>
    <w:rsid w:val="00A827BC"/>
    <w:rsid w:val="00A847D6"/>
    <w:rsid w:val="00A849AA"/>
    <w:rsid w:val="00A84DBC"/>
    <w:rsid w:val="00A87A26"/>
    <w:rsid w:val="00A90174"/>
    <w:rsid w:val="00A91A0C"/>
    <w:rsid w:val="00A91B2A"/>
    <w:rsid w:val="00A93B9B"/>
    <w:rsid w:val="00A949B6"/>
    <w:rsid w:val="00AA0434"/>
    <w:rsid w:val="00AA0F9D"/>
    <w:rsid w:val="00AA1C20"/>
    <w:rsid w:val="00AA1C98"/>
    <w:rsid w:val="00AA325E"/>
    <w:rsid w:val="00AA33EA"/>
    <w:rsid w:val="00AA3488"/>
    <w:rsid w:val="00AA3DF3"/>
    <w:rsid w:val="00AA50B0"/>
    <w:rsid w:val="00AA56F7"/>
    <w:rsid w:val="00AA5CBF"/>
    <w:rsid w:val="00AB3969"/>
    <w:rsid w:val="00AB4E82"/>
    <w:rsid w:val="00AB5639"/>
    <w:rsid w:val="00AB5DD3"/>
    <w:rsid w:val="00AB7B16"/>
    <w:rsid w:val="00AB7FBF"/>
    <w:rsid w:val="00AC577E"/>
    <w:rsid w:val="00AC6174"/>
    <w:rsid w:val="00AC7963"/>
    <w:rsid w:val="00AC79C0"/>
    <w:rsid w:val="00AD00C5"/>
    <w:rsid w:val="00AD2B6F"/>
    <w:rsid w:val="00AD4A0D"/>
    <w:rsid w:val="00AD6235"/>
    <w:rsid w:val="00AD75DA"/>
    <w:rsid w:val="00AE2A5B"/>
    <w:rsid w:val="00AE2AE7"/>
    <w:rsid w:val="00AE330F"/>
    <w:rsid w:val="00AE3731"/>
    <w:rsid w:val="00AE4816"/>
    <w:rsid w:val="00AE642E"/>
    <w:rsid w:val="00AF0C5D"/>
    <w:rsid w:val="00AF1A2B"/>
    <w:rsid w:val="00AF5E70"/>
    <w:rsid w:val="00B0152F"/>
    <w:rsid w:val="00B0198E"/>
    <w:rsid w:val="00B02476"/>
    <w:rsid w:val="00B03708"/>
    <w:rsid w:val="00B03DD6"/>
    <w:rsid w:val="00B06E56"/>
    <w:rsid w:val="00B101CA"/>
    <w:rsid w:val="00B114A7"/>
    <w:rsid w:val="00B114CC"/>
    <w:rsid w:val="00B11E52"/>
    <w:rsid w:val="00B124F5"/>
    <w:rsid w:val="00B12C18"/>
    <w:rsid w:val="00B1318A"/>
    <w:rsid w:val="00B15D62"/>
    <w:rsid w:val="00B162A0"/>
    <w:rsid w:val="00B17795"/>
    <w:rsid w:val="00B209D8"/>
    <w:rsid w:val="00B2192B"/>
    <w:rsid w:val="00B2210C"/>
    <w:rsid w:val="00B22FEA"/>
    <w:rsid w:val="00B24B25"/>
    <w:rsid w:val="00B25D41"/>
    <w:rsid w:val="00B2772F"/>
    <w:rsid w:val="00B27C69"/>
    <w:rsid w:val="00B304AA"/>
    <w:rsid w:val="00B30D55"/>
    <w:rsid w:val="00B35472"/>
    <w:rsid w:val="00B366C5"/>
    <w:rsid w:val="00B4253B"/>
    <w:rsid w:val="00B42992"/>
    <w:rsid w:val="00B42D0E"/>
    <w:rsid w:val="00B44055"/>
    <w:rsid w:val="00B449F6"/>
    <w:rsid w:val="00B44C91"/>
    <w:rsid w:val="00B45983"/>
    <w:rsid w:val="00B45DF8"/>
    <w:rsid w:val="00B50062"/>
    <w:rsid w:val="00B53053"/>
    <w:rsid w:val="00B55E96"/>
    <w:rsid w:val="00B5744B"/>
    <w:rsid w:val="00B57D15"/>
    <w:rsid w:val="00B60F90"/>
    <w:rsid w:val="00B62ABC"/>
    <w:rsid w:val="00B63189"/>
    <w:rsid w:val="00B66111"/>
    <w:rsid w:val="00B66AA8"/>
    <w:rsid w:val="00B67D61"/>
    <w:rsid w:val="00B70918"/>
    <w:rsid w:val="00B72CCF"/>
    <w:rsid w:val="00B735E7"/>
    <w:rsid w:val="00B75CCF"/>
    <w:rsid w:val="00B76CC0"/>
    <w:rsid w:val="00B76EE1"/>
    <w:rsid w:val="00B8324A"/>
    <w:rsid w:val="00B84D83"/>
    <w:rsid w:val="00B85638"/>
    <w:rsid w:val="00B857D5"/>
    <w:rsid w:val="00B93DFA"/>
    <w:rsid w:val="00B940D2"/>
    <w:rsid w:val="00BA1143"/>
    <w:rsid w:val="00BA2031"/>
    <w:rsid w:val="00BA293A"/>
    <w:rsid w:val="00BA2B6E"/>
    <w:rsid w:val="00BA388C"/>
    <w:rsid w:val="00BA3A52"/>
    <w:rsid w:val="00BA3D06"/>
    <w:rsid w:val="00BA4694"/>
    <w:rsid w:val="00BA4B9E"/>
    <w:rsid w:val="00BA60BA"/>
    <w:rsid w:val="00BA6567"/>
    <w:rsid w:val="00BA6F6A"/>
    <w:rsid w:val="00BB04D6"/>
    <w:rsid w:val="00BB06E0"/>
    <w:rsid w:val="00BB0E5B"/>
    <w:rsid w:val="00BB2930"/>
    <w:rsid w:val="00BB69E5"/>
    <w:rsid w:val="00BB7753"/>
    <w:rsid w:val="00BB7C94"/>
    <w:rsid w:val="00BC0FED"/>
    <w:rsid w:val="00BC1EA3"/>
    <w:rsid w:val="00BD03BE"/>
    <w:rsid w:val="00BD0637"/>
    <w:rsid w:val="00BD1A13"/>
    <w:rsid w:val="00BD43D6"/>
    <w:rsid w:val="00BE0498"/>
    <w:rsid w:val="00BE129D"/>
    <w:rsid w:val="00BE4AC3"/>
    <w:rsid w:val="00BE4FFE"/>
    <w:rsid w:val="00BE5163"/>
    <w:rsid w:val="00BE5289"/>
    <w:rsid w:val="00BE5E65"/>
    <w:rsid w:val="00BE6959"/>
    <w:rsid w:val="00BE7449"/>
    <w:rsid w:val="00BF08F4"/>
    <w:rsid w:val="00BF0F50"/>
    <w:rsid w:val="00BF19FA"/>
    <w:rsid w:val="00BF1CC9"/>
    <w:rsid w:val="00BF20A9"/>
    <w:rsid w:val="00BF230A"/>
    <w:rsid w:val="00BF30E6"/>
    <w:rsid w:val="00BF312A"/>
    <w:rsid w:val="00BF4C74"/>
    <w:rsid w:val="00BF51EC"/>
    <w:rsid w:val="00BF52CC"/>
    <w:rsid w:val="00C014CA"/>
    <w:rsid w:val="00C0277A"/>
    <w:rsid w:val="00C06AAF"/>
    <w:rsid w:val="00C10829"/>
    <w:rsid w:val="00C10B30"/>
    <w:rsid w:val="00C11E46"/>
    <w:rsid w:val="00C133B1"/>
    <w:rsid w:val="00C13809"/>
    <w:rsid w:val="00C1387B"/>
    <w:rsid w:val="00C177CE"/>
    <w:rsid w:val="00C205B1"/>
    <w:rsid w:val="00C22D8A"/>
    <w:rsid w:val="00C274C4"/>
    <w:rsid w:val="00C2758C"/>
    <w:rsid w:val="00C275C8"/>
    <w:rsid w:val="00C3139F"/>
    <w:rsid w:val="00C32372"/>
    <w:rsid w:val="00C3373E"/>
    <w:rsid w:val="00C361E9"/>
    <w:rsid w:val="00C3672D"/>
    <w:rsid w:val="00C372AA"/>
    <w:rsid w:val="00C47B27"/>
    <w:rsid w:val="00C512F2"/>
    <w:rsid w:val="00C5264C"/>
    <w:rsid w:val="00C53191"/>
    <w:rsid w:val="00C54238"/>
    <w:rsid w:val="00C56B60"/>
    <w:rsid w:val="00C56E00"/>
    <w:rsid w:val="00C61675"/>
    <w:rsid w:val="00C65579"/>
    <w:rsid w:val="00C67669"/>
    <w:rsid w:val="00C67B66"/>
    <w:rsid w:val="00C67CAF"/>
    <w:rsid w:val="00C70E7B"/>
    <w:rsid w:val="00C726AE"/>
    <w:rsid w:val="00C76C24"/>
    <w:rsid w:val="00C8068B"/>
    <w:rsid w:val="00C845C9"/>
    <w:rsid w:val="00C8502F"/>
    <w:rsid w:val="00C85D4A"/>
    <w:rsid w:val="00C8756A"/>
    <w:rsid w:val="00C9013E"/>
    <w:rsid w:val="00C902DB"/>
    <w:rsid w:val="00C905A9"/>
    <w:rsid w:val="00C91104"/>
    <w:rsid w:val="00C921B6"/>
    <w:rsid w:val="00C92E1F"/>
    <w:rsid w:val="00C948DC"/>
    <w:rsid w:val="00C961A6"/>
    <w:rsid w:val="00C96705"/>
    <w:rsid w:val="00C967AB"/>
    <w:rsid w:val="00C977A5"/>
    <w:rsid w:val="00CA22BF"/>
    <w:rsid w:val="00CA4DFB"/>
    <w:rsid w:val="00CA4F4F"/>
    <w:rsid w:val="00CA5ADE"/>
    <w:rsid w:val="00CA71CF"/>
    <w:rsid w:val="00CA7FB2"/>
    <w:rsid w:val="00CB2CEA"/>
    <w:rsid w:val="00CB3DEE"/>
    <w:rsid w:val="00CB564D"/>
    <w:rsid w:val="00CC0B1F"/>
    <w:rsid w:val="00CC135E"/>
    <w:rsid w:val="00CC274F"/>
    <w:rsid w:val="00CC28DD"/>
    <w:rsid w:val="00CC4FB4"/>
    <w:rsid w:val="00CC5D8F"/>
    <w:rsid w:val="00CC5FAB"/>
    <w:rsid w:val="00CC6CAE"/>
    <w:rsid w:val="00CC7A24"/>
    <w:rsid w:val="00CD3F56"/>
    <w:rsid w:val="00CD4CEA"/>
    <w:rsid w:val="00CD5340"/>
    <w:rsid w:val="00CD558C"/>
    <w:rsid w:val="00CD6558"/>
    <w:rsid w:val="00CE1B79"/>
    <w:rsid w:val="00CE3700"/>
    <w:rsid w:val="00CE470F"/>
    <w:rsid w:val="00CE4A53"/>
    <w:rsid w:val="00CE4B0C"/>
    <w:rsid w:val="00CE4C66"/>
    <w:rsid w:val="00CE6D57"/>
    <w:rsid w:val="00CE7C59"/>
    <w:rsid w:val="00CF03C0"/>
    <w:rsid w:val="00CF0677"/>
    <w:rsid w:val="00CF55F9"/>
    <w:rsid w:val="00CF6995"/>
    <w:rsid w:val="00CF7445"/>
    <w:rsid w:val="00D0210F"/>
    <w:rsid w:val="00D02A53"/>
    <w:rsid w:val="00D04182"/>
    <w:rsid w:val="00D04473"/>
    <w:rsid w:val="00D04548"/>
    <w:rsid w:val="00D0496E"/>
    <w:rsid w:val="00D07207"/>
    <w:rsid w:val="00D10212"/>
    <w:rsid w:val="00D12845"/>
    <w:rsid w:val="00D157FF"/>
    <w:rsid w:val="00D170D2"/>
    <w:rsid w:val="00D17D31"/>
    <w:rsid w:val="00D212DF"/>
    <w:rsid w:val="00D218A6"/>
    <w:rsid w:val="00D22646"/>
    <w:rsid w:val="00D2281B"/>
    <w:rsid w:val="00D2348E"/>
    <w:rsid w:val="00D2407E"/>
    <w:rsid w:val="00D26F7C"/>
    <w:rsid w:val="00D27ACF"/>
    <w:rsid w:val="00D307EF"/>
    <w:rsid w:val="00D31DE1"/>
    <w:rsid w:val="00D32D52"/>
    <w:rsid w:val="00D34062"/>
    <w:rsid w:val="00D34C88"/>
    <w:rsid w:val="00D34D8D"/>
    <w:rsid w:val="00D35A85"/>
    <w:rsid w:val="00D36732"/>
    <w:rsid w:val="00D37015"/>
    <w:rsid w:val="00D37A36"/>
    <w:rsid w:val="00D40C2E"/>
    <w:rsid w:val="00D421CF"/>
    <w:rsid w:val="00D45863"/>
    <w:rsid w:val="00D50070"/>
    <w:rsid w:val="00D50F6F"/>
    <w:rsid w:val="00D541EE"/>
    <w:rsid w:val="00D54939"/>
    <w:rsid w:val="00D54E93"/>
    <w:rsid w:val="00D61497"/>
    <w:rsid w:val="00D6177C"/>
    <w:rsid w:val="00D64C5B"/>
    <w:rsid w:val="00D67577"/>
    <w:rsid w:val="00D70C4E"/>
    <w:rsid w:val="00D72500"/>
    <w:rsid w:val="00D7373D"/>
    <w:rsid w:val="00D7542E"/>
    <w:rsid w:val="00D75D6A"/>
    <w:rsid w:val="00D769FB"/>
    <w:rsid w:val="00D7774C"/>
    <w:rsid w:val="00D823F8"/>
    <w:rsid w:val="00D84069"/>
    <w:rsid w:val="00D90738"/>
    <w:rsid w:val="00D90B62"/>
    <w:rsid w:val="00D91334"/>
    <w:rsid w:val="00D92A25"/>
    <w:rsid w:val="00D93148"/>
    <w:rsid w:val="00D9488C"/>
    <w:rsid w:val="00D95A09"/>
    <w:rsid w:val="00DA1086"/>
    <w:rsid w:val="00DA1A1D"/>
    <w:rsid w:val="00DA490E"/>
    <w:rsid w:val="00DA5578"/>
    <w:rsid w:val="00DA61EB"/>
    <w:rsid w:val="00DA78EF"/>
    <w:rsid w:val="00DB0E9F"/>
    <w:rsid w:val="00DB5726"/>
    <w:rsid w:val="00DB6A9A"/>
    <w:rsid w:val="00DB7731"/>
    <w:rsid w:val="00DC07CF"/>
    <w:rsid w:val="00DC2E6A"/>
    <w:rsid w:val="00DC3C48"/>
    <w:rsid w:val="00DC3CEF"/>
    <w:rsid w:val="00DC6C17"/>
    <w:rsid w:val="00DC7060"/>
    <w:rsid w:val="00DD072F"/>
    <w:rsid w:val="00DD0EA2"/>
    <w:rsid w:val="00DD4B32"/>
    <w:rsid w:val="00DE17B5"/>
    <w:rsid w:val="00DE1A5A"/>
    <w:rsid w:val="00DE1FF5"/>
    <w:rsid w:val="00DE2EA0"/>
    <w:rsid w:val="00DE4FC4"/>
    <w:rsid w:val="00DE5889"/>
    <w:rsid w:val="00DE78D3"/>
    <w:rsid w:val="00DF506A"/>
    <w:rsid w:val="00E02BE7"/>
    <w:rsid w:val="00E067A2"/>
    <w:rsid w:val="00E07AEA"/>
    <w:rsid w:val="00E10795"/>
    <w:rsid w:val="00E112ED"/>
    <w:rsid w:val="00E11AF5"/>
    <w:rsid w:val="00E11D03"/>
    <w:rsid w:val="00E120D4"/>
    <w:rsid w:val="00E13104"/>
    <w:rsid w:val="00E15CD9"/>
    <w:rsid w:val="00E171C1"/>
    <w:rsid w:val="00E20FBD"/>
    <w:rsid w:val="00E22794"/>
    <w:rsid w:val="00E24BCD"/>
    <w:rsid w:val="00E2633F"/>
    <w:rsid w:val="00E31BDF"/>
    <w:rsid w:val="00E33507"/>
    <w:rsid w:val="00E34DE7"/>
    <w:rsid w:val="00E34F60"/>
    <w:rsid w:val="00E36215"/>
    <w:rsid w:val="00E41425"/>
    <w:rsid w:val="00E416E8"/>
    <w:rsid w:val="00E445B5"/>
    <w:rsid w:val="00E46521"/>
    <w:rsid w:val="00E47269"/>
    <w:rsid w:val="00E47DDB"/>
    <w:rsid w:val="00E5427D"/>
    <w:rsid w:val="00E547C6"/>
    <w:rsid w:val="00E5571D"/>
    <w:rsid w:val="00E55AEB"/>
    <w:rsid w:val="00E55E62"/>
    <w:rsid w:val="00E56B94"/>
    <w:rsid w:val="00E56CCF"/>
    <w:rsid w:val="00E62833"/>
    <w:rsid w:val="00E63A79"/>
    <w:rsid w:val="00E642AA"/>
    <w:rsid w:val="00E65065"/>
    <w:rsid w:val="00E66BE9"/>
    <w:rsid w:val="00E70B6E"/>
    <w:rsid w:val="00E718EA"/>
    <w:rsid w:val="00E71B54"/>
    <w:rsid w:val="00E71D9D"/>
    <w:rsid w:val="00E72ADD"/>
    <w:rsid w:val="00E72FC6"/>
    <w:rsid w:val="00E74905"/>
    <w:rsid w:val="00E75CFC"/>
    <w:rsid w:val="00E76434"/>
    <w:rsid w:val="00E83909"/>
    <w:rsid w:val="00E84C54"/>
    <w:rsid w:val="00E852F0"/>
    <w:rsid w:val="00E86561"/>
    <w:rsid w:val="00E86770"/>
    <w:rsid w:val="00E86B7A"/>
    <w:rsid w:val="00E9107E"/>
    <w:rsid w:val="00E92B70"/>
    <w:rsid w:val="00E93A57"/>
    <w:rsid w:val="00E93B8A"/>
    <w:rsid w:val="00E9559A"/>
    <w:rsid w:val="00E95B48"/>
    <w:rsid w:val="00E97618"/>
    <w:rsid w:val="00EA353A"/>
    <w:rsid w:val="00EA4B55"/>
    <w:rsid w:val="00EA4E0F"/>
    <w:rsid w:val="00EA54DA"/>
    <w:rsid w:val="00EA73E6"/>
    <w:rsid w:val="00EA793F"/>
    <w:rsid w:val="00EB085B"/>
    <w:rsid w:val="00EB1339"/>
    <w:rsid w:val="00EB24F5"/>
    <w:rsid w:val="00EB2AD9"/>
    <w:rsid w:val="00EB3395"/>
    <w:rsid w:val="00EB4D7A"/>
    <w:rsid w:val="00EB4EEC"/>
    <w:rsid w:val="00EC08A2"/>
    <w:rsid w:val="00EC3E92"/>
    <w:rsid w:val="00EC4EB9"/>
    <w:rsid w:val="00ED27C6"/>
    <w:rsid w:val="00ED2B5E"/>
    <w:rsid w:val="00ED37BF"/>
    <w:rsid w:val="00ED3FC7"/>
    <w:rsid w:val="00ED5BC8"/>
    <w:rsid w:val="00ED7134"/>
    <w:rsid w:val="00EE11FB"/>
    <w:rsid w:val="00EE12B1"/>
    <w:rsid w:val="00EE1A52"/>
    <w:rsid w:val="00EE6483"/>
    <w:rsid w:val="00EE6DD5"/>
    <w:rsid w:val="00EF1A67"/>
    <w:rsid w:val="00EF1CC5"/>
    <w:rsid w:val="00EF24AD"/>
    <w:rsid w:val="00EF2EAE"/>
    <w:rsid w:val="00EF3325"/>
    <w:rsid w:val="00EF3EA9"/>
    <w:rsid w:val="00EF4078"/>
    <w:rsid w:val="00F01913"/>
    <w:rsid w:val="00F0208F"/>
    <w:rsid w:val="00F03F11"/>
    <w:rsid w:val="00F05FF5"/>
    <w:rsid w:val="00F06126"/>
    <w:rsid w:val="00F06819"/>
    <w:rsid w:val="00F06B92"/>
    <w:rsid w:val="00F07295"/>
    <w:rsid w:val="00F0767F"/>
    <w:rsid w:val="00F10763"/>
    <w:rsid w:val="00F11B49"/>
    <w:rsid w:val="00F11FF8"/>
    <w:rsid w:val="00F122E3"/>
    <w:rsid w:val="00F1278B"/>
    <w:rsid w:val="00F13BCA"/>
    <w:rsid w:val="00F15045"/>
    <w:rsid w:val="00F20456"/>
    <w:rsid w:val="00F24078"/>
    <w:rsid w:val="00F304AE"/>
    <w:rsid w:val="00F31960"/>
    <w:rsid w:val="00F328DD"/>
    <w:rsid w:val="00F33D0D"/>
    <w:rsid w:val="00F349E8"/>
    <w:rsid w:val="00F37228"/>
    <w:rsid w:val="00F415DB"/>
    <w:rsid w:val="00F42BD1"/>
    <w:rsid w:val="00F42C4D"/>
    <w:rsid w:val="00F43B02"/>
    <w:rsid w:val="00F4586B"/>
    <w:rsid w:val="00F4608C"/>
    <w:rsid w:val="00F46109"/>
    <w:rsid w:val="00F47966"/>
    <w:rsid w:val="00F502D6"/>
    <w:rsid w:val="00F50794"/>
    <w:rsid w:val="00F50E08"/>
    <w:rsid w:val="00F510BC"/>
    <w:rsid w:val="00F5113B"/>
    <w:rsid w:val="00F522F3"/>
    <w:rsid w:val="00F544D5"/>
    <w:rsid w:val="00F556E0"/>
    <w:rsid w:val="00F55E01"/>
    <w:rsid w:val="00F55F5E"/>
    <w:rsid w:val="00F5643F"/>
    <w:rsid w:val="00F576CC"/>
    <w:rsid w:val="00F57D65"/>
    <w:rsid w:val="00F62395"/>
    <w:rsid w:val="00F66D88"/>
    <w:rsid w:val="00F706F9"/>
    <w:rsid w:val="00F71EE8"/>
    <w:rsid w:val="00F72048"/>
    <w:rsid w:val="00F738FB"/>
    <w:rsid w:val="00F7542B"/>
    <w:rsid w:val="00F75F97"/>
    <w:rsid w:val="00F778D3"/>
    <w:rsid w:val="00F83FB2"/>
    <w:rsid w:val="00F8495C"/>
    <w:rsid w:val="00F851F1"/>
    <w:rsid w:val="00F85582"/>
    <w:rsid w:val="00F85AF8"/>
    <w:rsid w:val="00F85F62"/>
    <w:rsid w:val="00F863C5"/>
    <w:rsid w:val="00F903C7"/>
    <w:rsid w:val="00F90B4A"/>
    <w:rsid w:val="00F94166"/>
    <w:rsid w:val="00F950EE"/>
    <w:rsid w:val="00F96F78"/>
    <w:rsid w:val="00FA07EE"/>
    <w:rsid w:val="00FA3DE6"/>
    <w:rsid w:val="00FA5E58"/>
    <w:rsid w:val="00FA6BF3"/>
    <w:rsid w:val="00FA7E72"/>
    <w:rsid w:val="00FB04B1"/>
    <w:rsid w:val="00FB2387"/>
    <w:rsid w:val="00FB28E4"/>
    <w:rsid w:val="00FB5280"/>
    <w:rsid w:val="00FB5415"/>
    <w:rsid w:val="00FB7CC8"/>
    <w:rsid w:val="00FC15C9"/>
    <w:rsid w:val="00FC1DF3"/>
    <w:rsid w:val="00FC23F2"/>
    <w:rsid w:val="00FC4E10"/>
    <w:rsid w:val="00FC543D"/>
    <w:rsid w:val="00FC5E56"/>
    <w:rsid w:val="00FC7CFB"/>
    <w:rsid w:val="00FD1F19"/>
    <w:rsid w:val="00FD423E"/>
    <w:rsid w:val="00FD6E75"/>
    <w:rsid w:val="00FE1075"/>
    <w:rsid w:val="00FE214D"/>
    <w:rsid w:val="00FE3540"/>
    <w:rsid w:val="00FE4373"/>
    <w:rsid w:val="00FF413B"/>
    <w:rsid w:val="00FF6A5C"/>
    <w:rsid w:val="00FF79DF"/>
    <w:rsid w:val="00FF7E53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5D62"/>
  <w15:chartTrackingRefBased/>
  <w15:docId w15:val="{C6C14690-4EC3-4E64-913C-3723F76B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387"/>
  </w:style>
  <w:style w:type="paragraph" w:styleId="Nadpis1">
    <w:name w:val="heading 1"/>
    <w:basedOn w:val="Normln"/>
    <w:next w:val="Normln"/>
    <w:link w:val="Nadpis1Char"/>
    <w:uiPriority w:val="9"/>
    <w:qFormat/>
    <w:rsid w:val="00911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1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1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1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1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1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1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1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1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1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11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1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13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13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13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13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13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13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1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1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1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13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13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13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1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13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138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11387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03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03C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F03C0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A24BA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0767F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6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68DB"/>
  </w:style>
  <w:style w:type="paragraph" w:styleId="Zpat">
    <w:name w:val="footer"/>
    <w:basedOn w:val="Normln"/>
    <w:link w:val="ZpatChar"/>
    <w:uiPriority w:val="99"/>
    <w:unhideWhenUsed/>
    <w:rsid w:val="00116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68DB"/>
  </w:style>
  <w:style w:type="paragraph" w:styleId="Revize">
    <w:name w:val="Revision"/>
    <w:hidden/>
    <w:uiPriority w:val="99"/>
    <w:semiHidden/>
    <w:rsid w:val="000554DC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92A2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92A2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1483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Zahumenská</dc:creator>
  <cp:keywords/>
  <dc:description/>
  <cp:lastModifiedBy>Obec Nosálov</cp:lastModifiedBy>
  <cp:revision>2</cp:revision>
  <cp:lastPrinted>2026-05-05T18:17:00Z</cp:lastPrinted>
  <dcterms:created xsi:type="dcterms:W3CDTF">2026-05-20T12:43:00Z</dcterms:created>
  <dcterms:modified xsi:type="dcterms:W3CDTF">2026-05-20T12:43:00Z</dcterms:modified>
</cp:coreProperties>
</file>